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F5E9F" w14:textId="6D0EA86D" w:rsidR="005536CD" w:rsidRPr="00B31D29" w:rsidRDefault="005536CD" w:rsidP="00BA13DF">
      <w:pPr>
        <w:pStyle w:val="SectionHead"/>
        <w:tabs>
          <w:tab w:val="left" w:pos="419"/>
          <w:tab w:val="center" w:pos="3340"/>
        </w:tabs>
        <w:rPr>
          <w:sz w:val="44"/>
        </w:rPr>
      </w:pPr>
      <w:r w:rsidRPr="00B31D29">
        <w:rPr>
          <w:sz w:val="44"/>
        </w:rPr>
        <w:t xml:space="preserve">Persuasive or deceptive? </w:t>
      </w:r>
      <w:r w:rsidR="00165D18" w:rsidRPr="00B31D29">
        <w:rPr>
          <w:sz w:val="44"/>
        </w:rPr>
        <w:br/>
      </w:r>
      <w:r w:rsidRPr="00B31D29">
        <w:rPr>
          <w:sz w:val="44"/>
        </w:rPr>
        <w:t>Native Advertising in Political campaiGns</w:t>
      </w:r>
    </w:p>
    <w:p w14:paraId="69EDFFA8" w14:textId="19E91441" w:rsidR="005536CD" w:rsidRPr="00B31D29" w:rsidRDefault="005536CD" w:rsidP="00BA13DF">
      <w:pPr>
        <w:pStyle w:val="AuthorName1-Articles"/>
        <w:rPr>
          <w:sz w:val="28"/>
        </w:rPr>
      </w:pPr>
      <w:r w:rsidRPr="00B31D29">
        <w:rPr>
          <w:sz w:val="28"/>
        </w:rPr>
        <w:t>Irina Dykhne</w:t>
      </w:r>
      <w:r w:rsidR="00165D18" w:rsidRPr="00B31D29">
        <w:rPr>
          <w:rStyle w:val="NoterefInText"/>
          <w:sz w:val="18"/>
        </w:rPr>
        <w:footnoteReference w:customMarkFollows="1" w:id="1"/>
        <w:t>*</w:t>
      </w:r>
      <w:bookmarkStart w:id="0" w:name="_GoBack"/>
      <w:bookmarkEnd w:id="0"/>
    </w:p>
    <w:sdt>
      <w:sdtPr>
        <w:rPr>
          <w:rFonts w:ascii="Times New Roman" w:eastAsia="Times New Roman" w:hAnsi="Times New Roman" w:cs="Times New Roman"/>
          <w:b w:val="0"/>
          <w:bCs w:val="0"/>
          <w:color w:val="auto"/>
          <w:sz w:val="24"/>
          <w:szCs w:val="20"/>
        </w:rPr>
        <w:id w:val="1976180660"/>
        <w:docPartObj>
          <w:docPartGallery w:val="Table of Contents"/>
          <w:docPartUnique/>
        </w:docPartObj>
      </w:sdtPr>
      <w:sdtEndPr>
        <w:rPr>
          <w:noProof/>
          <w:sz w:val="32"/>
          <w:szCs w:val="24"/>
        </w:rPr>
      </w:sdtEndPr>
      <w:sdtContent>
        <w:p w14:paraId="60A4AF31" w14:textId="194B8D2A" w:rsidR="002B66F3" w:rsidRPr="00B31D29" w:rsidRDefault="00472D00" w:rsidP="00BA13DF">
          <w:pPr>
            <w:pStyle w:val="TOCHeading"/>
            <w:spacing w:before="220" w:after="120" w:line="260" w:lineRule="exact"/>
            <w:jc w:val="center"/>
            <w:rPr>
              <w:rFonts w:ascii="Times New Roman" w:hAnsi="Times New Roman" w:cs="Times New Roman"/>
              <w:b w:val="0"/>
              <w:color w:val="000000" w:themeColor="text1"/>
              <w:szCs w:val="22"/>
            </w:rPr>
          </w:pPr>
          <w:r w:rsidRPr="00B31D29">
            <w:rPr>
              <w:rFonts w:ascii="Times New Roman" w:hAnsi="Times New Roman" w:cs="Times New Roman"/>
              <w:b w:val="0"/>
              <w:color w:val="000000" w:themeColor="text1"/>
              <w:szCs w:val="22"/>
            </w:rPr>
            <w:t>TABLE OF CONTENTS</w:t>
          </w:r>
        </w:p>
        <w:p w14:paraId="769376CB" w14:textId="53DF6304" w:rsidR="002B66F3" w:rsidRPr="00B31D29" w:rsidRDefault="002B66F3">
          <w:pPr>
            <w:pStyle w:val="TOC10"/>
            <w:rPr>
              <w:rFonts w:ascii="Times New Roman" w:eastAsiaTheme="minorEastAsia" w:hAnsi="Times New Roman"/>
              <w:b w:val="0"/>
              <w:smallCaps/>
              <w:noProof/>
              <w:sz w:val="28"/>
              <w:szCs w:val="22"/>
            </w:rPr>
          </w:pPr>
          <w:r w:rsidRPr="00B31D29">
            <w:rPr>
              <w:rFonts w:ascii="Times New Roman" w:hAnsi="Times New Roman"/>
              <w:b w:val="0"/>
              <w:sz w:val="28"/>
              <w:szCs w:val="22"/>
            </w:rPr>
            <w:fldChar w:fldCharType="begin"/>
          </w:r>
          <w:r w:rsidRPr="00B31D29">
            <w:rPr>
              <w:rFonts w:ascii="Times New Roman" w:hAnsi="Times New Roman"/>
              <w:b w:val="0"/>
              <w:sz w:val="28"/>
              <w:szCs w:val="22"/>
            </w:rPr>
            <w:instrText xml:space="preserve"> TOC \o "1-3" \h \z \u </w:instrText>
          </w:r>
          <w:r w:rsidRPr="00B31D29">
            <w:rPr>
              <w:rFonts w:ascii="Times New Roman" w:hAnsi="Times New Roman"/>
              <w:b w:val="0"/>
              <w:sz w:val="28"/>
              <w:szCs w:val="22"/>
            </w:rPr>
            <w:fldChar w:fldCharType="separate"/>
          </w:r>
          <w:hyperlink w:anchor="_Toc504798748" w:history="1">
            <w:r w:rsidR="00472D00" w:rsidRPr="00B31D29">
              <w:rPr>
                <w:rStyle w:val="Hyperlink"/>
                <w:rFonts w:ascii="Times New Roman" w:hAnsi="Times New Roman"/>
                <w:b w:val="0"/>
                <w:smallCaps/>
                <w:noProof/>
                <w:color w:val="000000" w:themeColor="text1"/>
                <w:sz w:val="28"/>
                <w:szCs w:val="22"/>
              </w:rPr>
              <w:t>INTRODUCTION</w:t>
            </w:r>
            <w:r w:rsidRPr="00B31D29">
              <w:rPr>
                <w:rFonts w:ascii="Times New Roman" w:hAnsi="Times New Roman"/>
                <w:b w:val="0"/>
                <w:smallCaps/>
                <w:noProof/>
                <w:webHidden/>
                <w:sz w:val="28"/>
                <w:szCs w:val="22"/>
              </w:rPr>
              <w:tab/>
            </w:r>
            <w:r w:rsidRPr="00B31D29">
              <w:rPr>
                <w:rFonts w:ascii="Times New Roman" w:hAnsi="Times New Roman"/>
                <w:b w:val="0"/>
                <w:smallCaps/>
                <w:noProof/>
                <w:webHidden/>
                <w:sz w:val="28"/>
                <w:szCs w:val="22"/>
              </w:rPr>
              <w:fldChar w:fldCharType="begin"/>
            </w:r>
            <w:r w:rsidRPr="00B31D29">
              <w:rPr>
                <w:rFonts w:ascii="Times New Roman" w:hAnsi="Times New Roman"/>
                <w:b w:val="0"/>
                <w:smallCaps/>
                <w:noProof/>
                <w:webHidden/>
                <w:sz w:val="28"/>
                <w:szCs w:val="22"/>
              </w:rPr>
              <w:instrText xml:space="preserve"> PAGEREF _Toc504798748 \h </w:instrText>
            </w:r>
            <w:r w:rsidRPr="00B31D29">
              <w:rPr>
                <w:rFonts w:ascii="Times New Roman" w:hAnsi="Times New Roman"/>
                <w:b w:val="0"/>
                <w:smallCaps/>
                <w:noProof/>
                <w:webHidden/>
                <w:sz w:val="28"/>
                <w:szCs w:val="22"/>
              </w:rPr>
            </w:r>
            <w:r w:rsidRPr="00B31D29">
              <w:rPr>
                <w:rFonts w:ascii="Times New Roman" w:hAnsi="Times New Roman"/>
                <w:b w:val="0"/>
                <w:smallCaps/>
                <w:noProof/>
                <w:webHidden/>
                <w:sz w:val="28"/>
                <w:szCs w:val="22"/>
              </w:rPr>
              <w:fldChar w:fldCharType="separate"/>
            </w:r>
            <w:r w:rsidR="00203FC5" w:rsidRPr="00B31D29">
              <w:rPr>
                <w:rFonts w:ascii="Times New Roman" w:hAnsi="Times New Roman"/>
                <w:b w:val="0"/>
                <w:smallCaps/>
                <w:noProof/>
                <w:webHidden/>
                <w:sz w:val="28"/>
                <w:szCs w:val="22"/>
              </w:rPr>
              <w:t>340</w:t>
            </w:r>
            <w:r w:rsidRPr="00B31D29">
              <w:rPr>
                <w:rFonts w:ascii="Times New Roman" w:hAnsi="Times New Roman"/>
                <w:b w:val="0"/>
                <w:smallCaps/>
                <w:noProof/>
                <w:webHidden/>
                <w:sz w:val="28"/>
                <w:szCs w:val="22"/>
              </w:rPr>
              <w:fldChar w:fldCharType="end"/>
            </w:r>
          </w:hyperlink>
        </w:p>
        <w:p w14:paraId="12413B44" w14:textId="13125F34" w:rsidR="002B66F3" w:rsidRPr="00B31D29" w:rsidRDefault="004406D7">
          <w:pPr>
            <w:pStyle w:val="TOC10"/>
            <w:rPr>
              <w:rFonts w:ascii="Times New Roman" w:eastAsiaTheme="minorEastAsia" w:hAnsi="Times New Roman"/>
              <w:b w:val="0"/>
              <w:noProof/>
              <w:sz w:val="28"/>
              <w:szCs w:val="22"/>
            </w:rPr>
          </w:pPr>
          <w:hyperlink w:anchor="_Toc504798749" w:history="1">
            <w:r w:rsidR="002B66F3" w:rsidRPr="00B31D29">
              <w:rPr>
                <w:rStyle w:val="Hyperlink"/>
                <w:rFonts w:ascii="Times New Roman" w:hAnsi="Times New Roman"/>
                <w:b w:val="0"/>
                <w:noProof/>
                <w:color w:val="000000" w:themeColor="text1"/>
                <w:sz w:val="28"/>
                <w:szCs w:val="22"/>
              </w:rPr>
              <w:t>I. CAMPAIGN FINANCE DISCLOSURE</w:t>
            </w:r>
            <w:r w:rsidR="002B66F3" w:rsidRPr="00B31D29">
              <w:rPr>
                <w:rFonts w:ascii="Times New Roman" w:hAnsi="Times New Roman"/>
                <w:b w:val="0"/>
                <w:noProof/>
                <w:webHidden/>
                <w:sz w:val="28"/>
                <w:szCs w:val="22"/>
              </w:rPr>
              <w:tab/>
            </w:r>
            <w:r w:rsidR="002B66F3" w:rsidRPr="00B31D29">
              <w:rPr>
                <w:rFonts w:ascii="Times New Roman" w:hAnsi="Times New Roman"/>
                <w:b w:val="0"/>
                <w:noProof/>
                <w:webHidden/>
                <w:sz w:val="28"/>
                <w:szCs w:val="22"/>
              </w:rPr>
              <w:fldChar w:fldCharType="begin"/>
            </w:r>
            <w:r w:rsidR="002B66F3" w:rsidRPr="00B31D29">
              <w:rPr>
                <w:rFonts w:ascii="Times New Roman" w:hAnsi="Times New Roman"/>
                <w:b w:val="0"/>
                <w:noProof/>
                <w:webHidden/>
                <w:sz w:val="28"/>
                <w:szCs w:val="22"/>
              </w:rPr>
              <w:instrText xml:space="preserve"> PAGEREF _Toc504798749 \h </w:instrText>
            </w:r>
            <w:r w:rsidR="002B66F3" w:rsidRPr="00B31D29">
              <w:rPr>
                <w:rFonts w:ascii="Times New Roman" w:hAnsi="Times New Roman"/>
                <w:b w:val="0"/>
                <w:noProof/>
                <w:webHidden/>
                <w:sz w:val="28"/>
                <w:szCs w:val="22"/>
              </w:rPr>
            </w:r>
            <w:r w:rsidR="002B66F3" w:rsidRPr="00B31D29">
              <w:rPr>
                <w:rFonts w:ascii="Times New Roman" w:hAnsi="Times New Roman"/>
                <w:b w:val="0"/>
                <w:noProof/>
                <w:webHidden/>
                <w:sz w:val="28"/>
                <w:szCs w:val="22"/>
              </w:rPr>
              <w:fldChar w:fldCharType="separate"/>
            </w:r>
            <w:r w:rsidR="00203FC5" w:rsidRPr="00B31D29">
              <w:rPr>
                <w:rFonts w:ascii="Times New Roman" w:hAnsi="Times New Roman"/>
                <w:b w:val="0"/>
                <w:noProof/>
                <w:webHidden/>
                <w:sz w:val="28"/>
                <w:szCs w:val="22"/>
              </w:rPr>
              <w:t>342</w:t>
            </w:r>
            <w:r w:rsidR="002B66F3" w:rsidRPr="00B31D29">
              <w:rPr>
                <w:rFonts w:ascii="Times New Roman" w:hAnsi="Times New Roman"/>
                <w:b w:val="0"/>
                <w:noProof/>
                <w:webHidden/>
                <w:sz w:val="28"/>
                <w:szCs w:val="22"/>
              </w:rPr>
              <w:fldChar w:fldCharType="end"/>
            </w:r>
          </w:hyperlink>
        </w:p>
        <w:p w14:paraId="6B8B5A5F" w14:textId="685FD2D8" w:rsidR="002B66F3" w:rsidRPr="00B31D29" w:rsidRDefault="004406D7">
          <w:pPr>
            <w:pStyle w:val="TOC20"/>
            <w:rPr>
              <w:rFonts w:ascii="Times New Roman" w:eastAsiaTheme="minorEastAsia" w:hAnsi="Times New Roman"/>
              <w:b w:val="0"/>
              <w:noProof/>
              <w:sz w:val="28"/>
            </w:rPr>
          </w:pPr>
          <w:hyperlink w:anchor="_Toc504798750" w:history="1">
            <w:r w:rsidR="002B66F3" w:rsidRPr="00B31D29">
              <w:rPr>
                <w:rStyle w:val="Hyperlink"/>
                <w:rFonts w:ascii="Times New Roman" w:hAnsi="Times New Roman"/>
                <w:b w:val="0"/>
                <w:smallCaps/>
                <w:noProof/>
                <w:color w:val="000000" w:themeColor="text1"/>
                <w:sz w:val="28"/>
              </w:rPr>
              <w:t>A. </w:t>
            </w:r>
            <w:r w:rsidR="002B66F3" w:rsidRPr="00B31D29">
              <w:rPr>
                <w:rStyle w:val="Hyperlink"/>
                <w:rFonts w:ascii="Times New Roman" w:hAnsi="Times New Roman"/>
                <w:b w:val="0"/>
                <w:i/>
                <w:smallCaps/>
                <w:noProof/>
                <w:color w:val="000000" w:themeColor="text1"/>
                <w:sz w:val="28"/>
              </w:rPr>
              <w:t>Buckley v. Valeo</w:t>
            </w:r>
            <w:r w:rsidR="002B66F3" w:rsidRPr="00B31D29">
              <w:rPr>
                <w:rStyle w:val="Hyperlink"/>
                <w:rFonts w:ascii="Times New Roman" w:hAnsi="Times New Roman"/>
                <w:b w:val="0"/>
                <w:smallCaps/>
                <w:noProof/>
                <w:color w:val="000000" w:themeColor="text1"/>
                <w:sz w:val="28"/>
              </w:rPr>
              <w:t xml:space="preserve"> and the Supreme Court’s Disclosure Framework</w:t>
            </w:r>
            <w:r w:rsidR="002B66F3" w:rsidRPr="00B31D29">
              <w:rPr>
                <w:rFonts w:ascii="Times New Roman" w:hAnsi="Times New Roman"/>
                <w:b w:val="0"/>
                <w:noProof/>
                <w:webHidden/>
                <w:sz w:val="28"/>
              </w:rPr>
              <w:tab/>
            </w:r>
            <w:r w:rsidR="002B66F3" w:rsidRPr="00B31D29">
              <w:rPr>
                <w:rFonts w:ascii="Times New Roman" w:hAnsi="Times New Roman"/>
                <w:b w:val="0"/>
                <w:noProof/>
                <w:webHidden/>
                <w:sz w:val="28"/>
              </w:rPr>
              <w:fldChar w:fldCharType="begin"/>
            </w:r>
            <w:r w:rsidR="002B66F3" w:rsidRPr="00B31D29">
              <w:rPr>
                <w:rFonts w:ascii="Times New Roman" w:hAnsi="Times New Roman"/>
                <w:b w:val="0"/>
                <w:noProof/>
                <w:webHidden/>
                <w:sz w:val="28"/>
              </w:rPr>
              <w:instrText xml:space="preserve"> PAGEREF _Toc504798750 \h </w:instrText>
            </w:r>
            <w:r w:rsidR="002B66F3" w:rsidRPr="00B31D29">
              <w:rPr>
                <w:rFonts w:ascii="Times New Roman" w:hAnsi="Times New Roman"/>
                <w:b w:val="0"/>
                <w:noProof/>
                <w:webHidden/>
                <w:sz w:val="28"/>
              </w:rPr>
            </w:r>
            <w:r w:rsidR="002B66F3" w:rsidRPr="00B31D29">
              <w:rPr>
                <w:rFonts w:ascii="Times New Roman" w:hAnsi="Times New Roman"/>
                <w:b w:val="0"/>
                <w:noProof/>
                <w:webHidden/>
                <w:sz w:val="28"/>
              </w:rPr>
              <w:fldChar w:fldCharType="separate"/>
            </w:r>
            <w:r w:rsidR="00203FC5" w:rsidRPr="00B31D29">
              <w:rPr>
                <w:rFonts w:ascii="Times New Roman" w:hAnsi="Times New Roman"/>
                <w:b w:val="0"/>
                <w:noProof/>
                <w:webHidden/>
                <w:sz w:val="28"/>
              </w:rPr>
              <w:t>342</w:t>
            </w:r>
            <w:r w:rsidR="002B66F3" w:rsidRPr="00B31D29">
              <w:rPr>
                <w:rFonts w:ascii="Times New Roman" w:hAnsi="Times New Roman"/>
                <w:b w:val="0"/>
                <w:noProof/>
                <w:webHidden/>
                <w:sz w:val="28"/>
              </w:rPr>
              <w:fldChar w:fldCharType="end"/>
            </w:r>
          </w:hyperlink>
        </w:p>
        <w:p w14:paraId="5C16D0F7" w14:textId="18DB0742" w:rsidR="002B66F3" w:rsidRPr="00B31D29" w:rsidRDefault="004406D7">
          <w:pPr>
            <w:pStyle w:val="TOC20"/>
            <w:rPr>
              <w:rFonts w:ascii="Times New Roman" w:eastAsiaTheme="minorEastAsia" w:hAnsi="Times New Roman"/>
              <w:b w:val="0"/>
              <w:noProof/>
              <w:sz w:val="28"/>
            </w:rPr>
          </w:pPr>
          <w:hyperlink w:anchor="_Toc504798751" w:history="1">
            <w:r w:rsidR="002B66F3" w:rsidRPr="00B31D29">
              <w:rPr>
                <w:rStyle w:val="Hyperlink"/>
                <w:rFonts w:ascii="Times New Roman" w:hAnsi="Times New Roman"/>
                <w:b w:val="0"/>
                <w:smallCaps/>
                <w:noProof/>
                <w:color w:val="000000" w:themeColor="text1"/>
                <w:sz w:val="28"/>
              </w:rPr>
              <w:t xml:space="preserve">B. The Bipartisan Campaign Reform Act </w:t>
            </w:r>
            <w:r w:rsidR="00F85899" w:rsidRPr="00B31D29">
              <w:rPr>
                <w:rStyle w:val="Hyperlink"/>
                <w:rFonts w:ascii="Times New Roman" w:hAnsi="Times New Roman"/>
                <w:b w:val="0"/>
                <w:smallCaps/>
                <w:noProof/>
                <w:color w:val="000000" w:themeColor="text1"/>
                <w:sz w:val="28"/>
              </w:rPr>
              <w:t xml:space="preserve">of 2002 </w:t>
            </w:r>
            <w:r w:rsidR="002B66F3" w:rsidRPr="00B31D29">
              <w:rPr>
                <w:rStyle w:val="Hyperlink"/>
                <w:rFonts w:ascii="Times New Roman" w:hAnsi="Times New Roman"/>
                <w:b w:val="0"/>
                <w:smallCaps/>
                <w:noProof/>
                <w:color w:val="000000" w:themeColor="text1"/>
                <w:sz w:val="28"/>
              </w:rPr>
              <w:t xml:space="preserve">and </w:t>
            </w:r>
            <w:r w:rsidR="00F85899" w:rsidRPr="00B31D29">
              <w:rPr>
                <w:rStyle w:val="Hyperlink"/>
                <w:rFonts w:ascii="Times New Roman" w:hAnsi="Times New Roman"/>
                <w:b w:val="0"/>
                <w:smallCaps/>
                <w:noProof/>
                <w:color w:val="000000" w:themeColor="text1"/>
                <w:sz w:val="28"/>
              </w:rPr>
              <w:br/>
            </w:r>
            <w:r w:rsidR="002B66F3" w:rsidRPr="00B31D29">
              <w:rPr>
                <w:rStyle w:val="Hyperlink"/>
                <w:rFonts w:ascii="Times New Roman" w:hAnsi="Times New Roman"/>
                <w:b w:val="0"/>
                <w:smallCaps/>
                <w:noProof/>
                <w:color w:val="000000" w:themeColor="text1"/>
                <w:sz w:val="28"/>
              </w:rPr>
              <w:t>Disclosure Post-</w:t>
            </w:r>
            <w:r w:rsidR="002B66F3" w:rsidRPr="00B31D29">
              <w:rPr>
                <w:rStyle w:val="Hyperlink"/>
                <w:rFonts w:ascii="Times New Roman" w:hAnsi="Times New Roman"/>
                <w:b w:val="0"/>
                <w:i/>
                <w:smallCaps/>
                <w:noProof/>
                <w:color w:val="000000" w:themeColor="text1"/>
                <w:sz w:val="28"/>
              </w:rPr>
              <w:t>Buckley</w:t>
            </w:r>
            <w:r w:rsidR="002B66F3" w:rsidRPr="00B31D29">
              <w:rPr>
                <w:rFonts w:ascii="Times New Roman" w:hAnsi="Times New Roman"/>
                <w:b w:val="0"/>
                <w:noProof/>
                <w:webHidden/>
                <w:sz w:val="28"/>
              </w:rPr>
              <w:tab/>
            </w:r>
            <w:r w:rsidR="002B66F3" w:rsidRPr="00B31D29">
              <w:rPr>
                <w:rFonts w:ascii="Times New Roman" w:hAnsi="Times New Roman"/>
                <w:b w:val="0"/>
                <w:noProof/>
                <w:webHidden/>
                <w:sz w:val="28"/>
              </w:rPr>
              <w:fldChar w:fldCharType="begin"/>
            </w:r>
            <w:r w:rsidR="002B66F3" w:rsidRPr="00B31D29">
              <w:rPr>
                <w:rFonts w:ascii="Times New Roman" w:hAnsi="Times New Roman"/>
                <w:b w:val="0"/>
                <w:noProof/>
                <w:webHidden/>
                <w:sz w:val="28"/>
              </w:rPr>
              <w:instrText xml:space="preserve"> PAGEREF _Toc504798751 \h </w:instrText>
            </w:r>
            <w:r w:rsidR="002B66F3" w:rsidRPr="00B31D29">
              <w:rPr>
                <w:rFonts w:ascii="Times New Roman" w:hAnsi="Times New Roman"/>
                <w:b w:val="0"/>
                <w:noProof/>
                <w:webHidden/>
                <w:sz w:val="28"/>
              </w:rPr>
            </w:r>
            <w:r w:rsidR="002B66F3" w:rsidRPr="00B31D29">
              <w:rPr>
                <w:rFonts w:ascii="Times New Roman" w:hAnsi="Times New Roman"/>
                <w:b w:val="0"/>
                <w:noProof/>
                <w:webHidden/>
                <w:sz w:val="28"/>
              </w:rPr>
              <w:fldChar w:fldCharType="separate"/>
            </w:r>
            <w:r w:rsidR="00203FC5" w:rsidRPr="00B31D29">
              <w:rPr>
                <w:rFonts w:ascii="Times New Roman" w:hAnsi="Times New Roman"/>
                <w:b w:val="0"/>
                <w:noProof/>
                <w:webHidden/>
                <w:sz w:val="28"/>
              </w:rPr>
              <w:t>346</w:t>
            </w:r>
            <w:r w:rsidR="002B66F3" w:rsidRPr="00B31D29">
              <w:rPr>
                <w:rFonts w:ascii="Times New Roman" w:hAnsi="Times New Roman"/>
                <w:b w:val="0"/>
                <w:noProof/>
                <w:webHidden/>
                <w:sz w:val="28"/>
              </w:rPr>
              <w:fldChar w:fldCharType="end"/>
            </w:r>
          </w:hyperlink>
        </w:p>
        <w:p w14:paraId="725B87A4" w14:textId="166CDFE6" w:rsidR="002B66F3" w:rsidRPr="00B31D29" w:rsidRDefault="004406D7">
          <w:pPr>
            <w:pStyle w:val="TOC20"/>
            <w:rPr>
              <w:rFonts w:ascii="Times New Roman" w:eastAsiaTheme="minorEastAsia" w:hAnsi="Times New Roman"/>
              <w:b w:val="0"/>
              <w:noProof/>
              <w:sz w:val="28"/>
            </w:rPr>
          </w:pPr>
          <w:hyperlink w:anchor="_Toc504798752" w:history="1">
            <w:r w:rsidR="002B66F3" w:rsidRPr="00B31D29">
              <w:rPr>
                <w:rStyle w:val="Hyperlink"/>
                <w:rFonts w:ascii="Times New Roman" w:hAnsi="Times New Roman"/>
                <w:b w:val="0"/>
                <w:smallCaps/>
                <w:noProof/>
                <w:color w:val="000000" w:themeColor="text1"/>
                <w:sz w:val="28"/>
              </w:rPr>
              <w:t>C. </w:t>
            </w:r>
            <w:r w:rsidR="002B66F3" w:rsidRPr="00B31D29">
              <w:rPr>
                <w:rStyle w:val="Hyperlink"/>
                <w:rFonts w:ascii="Times New Roman" w:hAnsi="Times New Roman"/>
                <w:b w:val="0"/>
                <w:i/>
                <w:smallCaps/>
                <w:noProof/>
                <w:color w:val="000000" w:themeColor="text1"/>
                <w:sz w:val="28"/>
              </w:rPr>
              <w:t>Citizens United v. FEC</w:t>
            </w:r>
            <w:r w:rsidR="002B66F3" w:rsidRPr="00B31D29">
              <w:rPr>
                <w:rFonts w:ascii="Times New Roman" w:hAnsi="Times New Roman"/>
                <w:b w:val="0"/>
                <w:noProof/>
                <w:webHidden/>
                <w:sz w:val="28"/>
              </w:rPr>
              <w:tab/>
            </w:r>
            <w:r w:rsidR="002B66F3" w:rsidRPr="00B31D29">
              <w:rPr>
                <w:rFonts w:ascii="Times New Roman" w:hAnsi="Times New Roman"/>
                <w:b w:val="0"/>
                <w:noProof/>
                <w:webHidden/>
                <w:sz w:val="28"/>
              </w:rPr>
              <w:fldChar w:fldCharType="begin"/>
            </w:r>
            <w:r w:rsidR="002B66F3" w:rsidRPr="00B31D29">
              <w:rPr>
                <w:rFonts w:ascii="Times New Roman" w:hAnsi="Times New Roman"/>
                <w:b w:val="0"/>
                <w:noProof/>
                <w:webHidden/>
                <w:sz w:val="28"/>
              </w:rPr>
              <w:instrText xml:space="preserve"> PAGEREF _Toc504798752 \h </w:instrText>
            </w:r>
            <w:r w:rsidR="002B66F3" w:rsidRPr="00B31D29">
              <w:rPr>
                <w:rFonts w:ascii="Times New Roman" w:hAnsi="Times New Roman"/>
                <w:b w:val="0"/>
                <w:noProof/>
                <w:webHidden/>
                <w:sz w:val="28"/>
              </w:rPr>
            </w:r>
            <w:r w:rsidR="002B66F3" w:rsidRPr="00B31D29">
              <w:rPr>
                <w:rFonts w:ascii="Times New Roman" w:hAnsi="Times New Roman"/>
                <w:b w:val="0"/>
                <w:noProof/>
                <w:webHidden/>
                <w:sz w:val="28"/>
              </w:rPr>
              <w:fldChar w:fldCharType="separate"/>
            </w:r>
            <w:r w:rsidR="00203FC5" w:rsidRPr="00B31D29">
              <w:rPr>
                <w:rFonts w:ascii="Times New Roman" w:hAnsi="Times New Roman"/>
                <w:b w:val="0"/>
                <w:noProof/>
                <w:webHidden/>
                <w:sz w:val="28"/>
              </w:rPr>
              <w:t>347</w:t>
            </w:r>
            <w:r w:rsidR="002B66F3" w:rsidRPr="00B31D29">
              <w:rPr>
                <w:rFonts w:ascii="Times New Roman" w:hAnsi="Times New Roman"/>
                <w:b w:val="0"/>
                <w:noProof/>
                <w:webHidden/>
                <w:sz w:val="28"/>
              </w:rPr>
              <w:fldChar w:fldCharType="end"/>
            </w:r>
          </w:hyperlink>
        </w:p>
        <w:p w14:paraId="3C6F9EB5" w14:textId="590CB670" w:rsidR="002B66F3" w:rsidRPr="00B31D29" w:rsidRDefault="004406D7" w:rsidP="00BA13DF">
          <w:pPr>
            <w:pStyle w:val="TOC10"/>
            <w:ind w:left="270" w:hanging="270"/>
            <w:rPr>
              <w:rFonts w:ascii="Times New Roman" w:eastAsiaTheme="minorEastAsia" w:hAnsi="Times New Roman"/>
              <w:b w:val="0"/>
              <w:noProof/>
              <w:sz w:val="28"/>
              <w:szCs w:val="22"/>
            </w:rPr>
          </w:pPr>
          <w:hyperlink w:anchor="_Toc504798753" w:history="1">
            <w:r w:rsidR="002B66F3" w:rsidRPr="00B31D29">
              <w:rPr>
                <w:rStyle w:val="Hyperlink"/>
                <w:rFonts w:ascii="Times New Roman" w:hAnsi="Times New Roman"/>
                <w:b w:val="0"/>
                <w:noProof/>
                <w:color w:val="000000" w:themeColor="text1"/>
                <w:sz w:val="28"/>
                <w:szCs w:val="22"/>
              </w:rPr>
              <w:t>II. EMPIRICAL STUDIES MEASURE THE BENEFITS OF DISCLOSURE</w:t>
            </w:r>
            <w:r w:rsidR="002B66F3" w:rsidRPr="00B31D29">
              <w:rPr>
                <w:rFonts w:ascii="Times New Roman" w:hAnsi="Times New Roman"/>
                <w:b w:val="0"/>
                <w:noProof/>
                <w:webHidden/>
                <w:sz w:val="28"/>
                <w:szCs w:val="22"/>
              </w:rPr>
              <w:tab/>
            </w:r>
            <w:r w:rsidR="002B66F3" w:rsidRPr="00B31D29">
              <w:rPr>
                <w:rFonts w:ascii="Times New Roman" w:hAnsi="Times New Roman"/>
                <w:b w:val="0"/>
                <w:noProof/>
                <w:webHidden/>
                <w:sz w:val="28"/>
                <w:szCs w:val="22"/>
              </w:rPr>
              <w:fldChar w:fldCharType="begin"/>
            </w:r>
            <w:r w:rsidR="002B66F3" w:rsidRPr="00B31D29">
              <w:rPr>
                <w:rFonts w:ascii="Times New Roman" w:hAnsi="Times New Roman"/>
                <w:b w:val="0"/>
                <w:noProof/>
                <w:webHidden/>
                <w:sz w:val="28"/>
                <w:szCs w:val="22"/>
              </w:rPr>
              <w:instrText xml:space="preserve"> PAGEREF _Toc504798753 \h </w:instrText>
            </w:r>
            <w:r w:rsidR="002B66F3" w:rsidRPr="00B31D29">
              <w:rPr>
                <w:rFonts w:ascii="Times New Roman" w:hAnsi="Times New Roman"/>
                <w:b w:val="0"/>
                <w:noProof/>
                <w:webHidden/>
                <w:sz w:val="28"/>
                <w:szCs w:val="22"/>
              </w:rPr>
            </w:r>
            <w:r w:rsidR="002B66F3" w:rsidRPr="00B31D29">
              <w:rPr>
                <w:rFonts w:ascii="Times New Roman" w:hAnsi="Times New Roman"/>
                <w:b w:val="0"/>
                <w:noProof/>
                <w:webHidden/>
                <w:sz w:val="28"/>
                <w:szCs w:val="22"/>
              </w:rPr>
              <w:fldChar w:fldCharType="separate"/>
            </w:r>
            <w:r w:rsidR="00203FC5" w:rsidRPr="00B31D29">
              <w:rPr>
                <w:rFonts w:ascii="Times New Roman" w:hAnsi="Times New Roman"/>
                <w:b w:val="0"/>
                <w:noProof/>
                <w:webHidden/>
                <w:sz w:val="28"/>
                <w:szCs w:val="22"/>
              </w:rPr>
              <w:t>350</w:t>
            </w:r>
            <w:r w:rsidR="002B66F3" w:rsidRPr="00B31D29">
              <w:rPr>
                <w:rFonts w:ascii="Times New Roman" w:hAnsi="Times New Roman"/>
                <w:b w:val="0"/>
                <w:noProof/>
                <w:webHidden/>
                <w:sz w:val="28"/>
                <w:szCs w:val="22"/>
              </w:rPr>
              <w:fldChar w:fldCharType="end"/>
            </w:r>
          </w:hyperlink>
        </w:p>
        <w:p w14:paraId="2128509C" w14:textId="7574683E" w:rsidR="002B66F3" w:rsidRPr="00B31D29" w:rsidRDefault="004406D7">
          <w:pPr>
            <w:pStyle w:val="TOC20"/>
            <w:rPr>
              <w:rFonts w:ascii="Times New Roman" w:eastAsiaTheme="minorEastAsia" w:hAnsi="Times New Roman"/>
              <w:b w:val="0"/>
              <w:noProof/>
              <w:sz w:val="28"/>
            </w:rPr>
          </w:pPr>
          <w:hyperlink w:anchor="_Toc504798754" w:history="1">
            <w:r w:rsidR="002B66F3" w:rsidRPr="00B31D29">
              <w:rPr>
                <w:rStyle w:val="Hyperlink"/>
                <w:rFonts w:ascii="Times New Roman" w:hAnsi="Times New Roman"/>
                <w:b w:val="0"/>
                <w:smallCaps/>
                <w:noProof/>
                <w:color w:val="000000" w:themeColor="text1"/>
                <w:sz w:val="28"/>
              </w:rPr>
              <w:t>A. The Effectiveness of Disclaimers</w:t>
            </w:r>
            <w:r w:rsidR="002B66F3" w:rsidRPr="00B31D29">
              <w:rPr>
                <w:rFonts w:ascii="Times New Roman" w:hAnsi="Times New Roman"/>
                <w:b w:val="0"/>
                <w:noProof/>
                <w:webHidden/>
                <w:sz w:val="28"/>
              </w:rPr>
              <w:tab/>
            </w:r>
            <w:r w:rsidR="002B66F3" w:rsidRPr="00B31D29">
              <w:rPr>
                <w:rFonts w:ascii="Times New Roman" w:hAnsi="Times New Roman"/>
                <w:b w:val="0"/>
                <w:noProof/>
                <w:webHidden/>
                <w:sz w:val="28"/>
              </w:rPr>
              <w:fldChar w:fldCharType="begin"/>
            </w:r>
            <w:r w:rsidR="002B66F3" w:rsidRPr="00B31D29">
              <w:rPr>
                <w:rFonts w:ascii="Times New Roman" w:hAnsi="Times New Roman"/>
                <w:b w:val="0"/>
                <w:noProof/>
                <w:webHidden/>
                <w:sz w:val="28"/>
              </w:rPr>
              <w:instrText xml:space="preserve"> PAGEREF _Toc504798754 \h </w:instrText>
            </w:r>
            <w:r w:rsidR="002B66F3" w:rsidRPr="00B31D29">
              <w:rPr>
                <w:rFonts w:ascii="Times New Roman" w:hAnsi="Times New Roman"/>
                <w:b w:val="0"/>
                <w:noProof/>
                <w:webHidden/>
                <w:sz w:val="28"/>
              </w:rPr>
            </w:r>
            <w:r w:rsidR="002B66F3" w:rsidRPr="00B31D29">
              <w:rPr>
                <w:rFonts w:ascii="Times New Roman" w:hAnsi="Times New Roman"/>
                <w:b w:val="0"/>
                <w:noProof/>
                <w:webHidden/>
                <w:sz w:val="28"/>
              </w:rPr>
              <w:fldChar w:fldCharType="separate"/>
            </w:r>
            <w:r w:rsidR="00203FC5" w:rsidRPr="00B31D29">
              <w:rPr>
                <w:rFonts w:ascii="Times New Roman" w:hAnsi="Times New Roman"/>
                <w:b w:val="0"/>
                <w:noProof/>
                <w:webHidden/>
                <w:sz w:val="28"/>
              </w:rPr>
              <w:t>350</w:t>
            </w:r>
            <w:r w:rsidR="002B66F3" w:rsidRPr="00B31D29">
              <w:rPr>
                <w:rFonts w:ascii="Times New Roman" w:hAnsi="Times New Roman"/>
                <w:b w:val="0"/>
                <w:noProof/>
                <w:webHidden/>
                <w:sz w:val="28"/>
              </w:rPr>
              <w:fldChar w:fldCharType="end"/>
            </w:r>
          </w:hyperlink>
        </w:p>
        <w:p w14:paraId="22A935C2" w14:textId="00AACF7F" w:rsidR="002B66F3" w:rsidRPr="00B31D29" w:rsidRDefault="004406D7">
          <w:pPr>
            <w:pStyle w:val="TOC20"/>
            <w:rPr>
              <w:rFonts w:ascii="Times New Roman" w:eastAsiaTheme="minorEastAsia" w:hAnsi="Times New Roman"/>
              <w:b w:val="0"/>
              <w:noProof/>
              <w:sz w:val="28"/>
            </w:rPr>
          </w:pPr>
          <w:hyperlink w:anchor="_Toc504798755" w:history="1">
            <w:r w:rsidR="002B66F3" w:rsidRPr="00B31D29">
              <w:rPr>
                <w:rStyle w:val="Hyperlink"/>
                <w:rFonts w:ascii="Times New Roman" w:hAnsi="Times New Roman"/>
                <w:b w:val="0"/>
                <w:smallCaps/>
                <w:noProof/>
                <w:color w:val="000000" w:themeColor="text1"/>
                <w:sz w:val="28"/>
              </w:rPr>
              <w:t>B. Voters Value Transparency</w:t>
            </w:r>
            <w:r w:rsidR="002B66F3" w:rsidRPr="00B31D29">
              <w:rPr>
                <w:rFonts w:ascii="Times New Roman" w:hAnsi="Times New Roman"/>
                <w:b w:val="0"/>
                <w:noProof/>
                <w:webHidden/>
                <w:sz w:val="28"/>
              </w:rPr>
              <w:tab/>
            </w:r>
            <w:r w:rsidR="002B66F3" w:rsidRPr="00B31D29">
              <w:rPr>
                <w:rFonts w:ascii="Times New Roman" w:hAnsi="Times New Roman"/>
                <w:b w:val="0"/>
                <w:noProof/>
                <w:webHidden/>
                <w:sz w:val="28"/>
              </w:rPr>
              <w:fldChar w:fldCharType="begin"/>
            </w:r>
            <w:r w:rsidR="002B66F3" w:rsidRPr="00B31D29">
              <w:rPr>
                <w:rFonts w:ascii="Times New Roman" w:hAnsi="Times New Roman"/>
                <w:b w:val="0"/>
                <w:noProof/>
                <w:webHidden/>
                <w:sz w:val="28"/>
              </w:rPr>
              <w:instrText xml:space="preserve"> PAGEREF _Toc504798755 \h </w:instrText>
            </w:r>
            <w:r w:rsidR="002B66F3" w:rsidRPr="00B31D29">
              <w:rPr>
                <w:rFonts w:ascii="Times New Roman" w:hAnsi="Times New Roman"/>
                <w:b w:val="0"/>
                <w:noProof/>
                <w:webHidden/>
                <w:sz w:val="28"/>
              </w:rPr>
            </w:r>
            <w:r w:rsidR="002B66F3" w:rsidRPr="00B31D29">
              <w:rPr>
                <w:rFonts w:ascii="Times New Roman" w:hAnsi="Times New Roman"/>
                <w:b w:val="0"/>
                <w:noProof/>
                <w:webHidden/>
                <w:sz w:val="28"/>
              </w:rPr>
              <w:fldChar w:fldCharType="separate"/>
            </w:r>
            <w:r w:rsidR="00203FC5" w:rsidRPr="00B31D29">
              <w:rPr>
                <w:rFonts w:ascii="Times New Roman" w:hAnsi="Times New Roman"/>
                <w:b w:val="0"/>
                <w:noProof/>
                <w:webHidden/>
                <w:sz w:val="28"/>
              </w:rPr>
              <w:t>353</w:t>
            </w:r>
            <w:r w:rsidR="002B66F3" w:rsidRPr="00B31D29">
              <w:rPr>
                <w:rFonts w:ascii="Times New Roman" w:hAnsi="Times New Roman"/>
                <w:b w:val="0"/>
                <w:noProof/>
                <w:webHidden/>
                <w:sz w:val="28"/>
              </w:rPr>
              <w:fldChar w:fldCharType="end"/>
            </w:r>
          </w:hyperlink>
        </w:p>
        <w:p w14:paraId="50801916" w14:textId="3CF2737E" w:rsidR="002B66F3" w:rsidRPr="00B31D29" w:rsidRDefault="004406D7">
          <w:pPr>
            <w:pStyle w:val="TOC10"/>
            <w:rPr>
              <w:rFonts w:ascii="Times New Roman" w:eastAsiaTheme="minorEastAsia" w:hAnsi="Times New Roman"/>
              <w:b w:val="0"/>
              <w:noProof/>
              <w:sz w:val="28"/>
              <w:szCs w:val="22"/>
            </w:rPr>
          </w:pPr>
          <w:hyperlink w:anchor="_Toc504798756" w:history="1">
            <w:r w:rsidR="002B66F3" w:rsidRPr="00B31D29">
              <w:rPr>
                <w:rStyle w:val="Hyperlink"/>
                <w:rFonts w:ascii="Times New Roman" w:hAnsi="Times New Roman"/>
                <w:b w:val="0"/>
                <w:noProof/>
                <w:color w:val="000000" w:themeColor="text1"/>
                <w:sz w:val="28"/>
                <w:szCs w:val="22"/>
              </w:rPr>
              <w:t>III. DISCLOSURE ONLINE</w:t>
            </w:r>
            <w:r w:rsidR="002B66F3" w:rsidRPr="00B31D29">
              <w:rPr>
                <w:rFonts w:ascii="Times New Roman" w:hAnsi="Times New Roman"/>
                <w:b w:val="0"/>
                <w:noProof/>
                <w:webHidden/>
                <w:sz w:val="28"/>
                <w:szCs w:val="22"/>
              </w:rPr>
              <w:tab/>
            </w:r>
            <w:r w:rsidR="002B66F3" w:rsidRPr="00B31D29">
              <w:rPr>
                <w:rFonts w:ascii="Times New Roman" w:hAnsi="Times New Roman"/>
                <w:b w:val="0"/>
                <w:noProof/>
                <w:webHidden/>
                <w:sz w:val="28"/>
                <w:szCs w:val="22"/>
              </w:rPr>
              <w:fldChar w:fldCharType="begin"/>
            </w:r>
            <w:r w:rsidR="002B66F3" w:rsidRPr="00B31D29">
              <w:rPr>
                <w:rFonts w:ascii="Times New Roman" w:hAnsi="Times New Roman"/>
                <w:b w:val="0"/>
                <w:noProof/>
                <w:webHidden/>
                <w:sz w:val="28"/>
                <w:szCs w:val="22"/>
              </w:rPr>
              <w:instrText xml:space="preserve"> PAGEREF _Toc504798756 \h </w:instrText>
            </w:r>
            <w:r w:rsidR="002B66F3" w:rsidRPr="00B31D29">
              <w:rPr>
                <w:rFonts w:ascii="Times New Roman" w:hAnsi="Times New Roman"/>
                <w:b w:val="0"/>
                <w:noProof/>
                <w:webHidden/>
                <w:sz w:val="28"/>
                <w:szCs w:val="22"/>
              </w:rPr>
            </w:r>
            <w:r w:rsidR="002B66F3" w:rsidRPr="00B31D29">
              <w:rPr>
                <w:rFonts w:ascii="Times New Roman" w:hAnsi="Times New Roman"/>
                <w:b w:val="0"/>
                <w:noProof/>
                <w:webHidden/>
                <w:sz w:val="28"/>
                <w:szCs w:val="22"/>
              </w:rPr>
              <w:fldChar w:fldCharType="separate"/>
            </w:r>
            <w:r w:rsidR="00203FC5" w:rsidRPr="00B31D29">
              <w:rPr>
                <w:rFonts w:ascii="Times New Roman" w:hAnsi="Times New Roman"/>
                <w:b w:val="0"/>
                <w:noProof/>
                <w:webHidden/>
                <w:sz w:val="28"/>
                <w:szCs w:val="22"/>
              </w:rPr>
              <w:t>354</w:t>
            </w:r>
            <w:r w:rsidR="002B66F3" w:rsidRPr="00B31D29">
              <w:rPr>
                <w:rFonts w:ascii="Times New Roman" w:hAnsi="Times New Roman"/>
                <w:b w:val="0"/>
                <w:noProof/>
                <w:webHidden/>
                <w:sz w:val="28"/>
                <w:szCs w:val="22"/>
              </w:rPr>
              <w:fldChar w:fldCharType="end"/>
            </w:r>
          </w:hyperlink>
        </w:p>
        <w:p w14:paraId="5D4F3104" w14:textId="53333146" w:rsidR="002B66F3" w:rsidRPr="00B31D29" w:rsidRDefault="004406D7">
          <w:pPr>
            <w:pStyle w:val="TOC20"/>
            <w:rPr>
              <w:rFonts w:ascii="Times New Roman" w:eastAsiaTheme="minorEastAsia" w:hAnsi="Times New Roman"/>
              <w:b w:val="0"/>
              <w:noProof/>
              <w:sz w:val="28"/>
            </w:rPr>
          </w:pPr>
          <w:hyperlink w:anchor="_Toc504798757" w:history="1">
            <w:r w:rsidR="002B66F3" w:rsidRPr="00B31D29">
              <w:rPr>
                <w:rStyle w:val="Hyperlink"/>
                <w:rFonts w:ascii="Times New Roman" w:hAnsi="Times New Roman"/>
                <w:b w:val="0"/>
                <w:smallCaps/>
                <w:noProof/>
                <w:color w:val="000000" w:themeColor="text1"/>
                <w:sz w:val="28"/>
              </w:rPr>
              <w:t>A. Free Communication</w:t>
            </w:r>
            <w:r w:rsidR="002B66F3" w:rsidRPr="00B31D29">
              <w:rPr>
                <w:rFonts w:ascii="Times New Roman" w:hAnsi="Times New Roman"/>
                <w:b w:val="0"/>
                <w:noProof/>
                <w:webHidden/>
                <w:sz w:val="28"/>
              </w:rPr>
              <w:tab/>
            </w:r>
            <w:r w:rsidR="002B66F3" w:rsidRPr="00B31D29">
              <w:rPr>
                <w:rFonts w:ascii="Times New Roman" w:hAnsi="Times New Roman"/>
                <w:b w:val="0"/>
                <w:noProof/>
                <w:webHidden/>
                <w:sz w:val="28"/>
              </w:rPr>
              <w:fldChar w:fldCharType="begin"/>
            </w:r>
            <w:r w:rsidR="002B66F3" w:rsidRPr="00B31D29">
              <w:rPr>
                <w:rFonts w:ascii="Times New Roman" w:hAnsi="Times New Roman"/>
                <w:b w:val="0"/>
                <w:noProof/>
                <w:webHidden/>
                <w:sz w:val="28"/>
              </w:rPr>
              <w:instrText xml:space="preserve"> PAGEREF _Toc504798757 \h </w:instrText>
            </w:r>
            <w:r w:rsidR="002B66F3" w:rsidRPr="00B31D29">
              <w:rPr>
                <w:rFonts w:ascii="Times New Roman" w:hAnsi="Times New Roman"/>
                <w:b w:val="0"/>
                <w:noProof/>
                <w:webHidden/>
                <w:sz w:val="28"/>
              </w:rPr>
            </w:r>
            <w:r w:rsidR="002B66F3" w:rsidRPr="00B31D29">
              <w:rPr>
                <w:rFonts w:ascii="Times New Roman" w:hAnsi="Times New Roman"/>
                <w:b w:val="0"/>
                <w:noProof/>
                <w:webHidden/>
                <w:sz w:val="28"/>
              </w:rPr>
              <w:fldChar w:fldCharType="separate"/>
            </w:r>
            <w:r w:rsidR="00203FC5" w:rsidRPr="00B31D29">
              <w:rPr>
                <w:rFonts w:ascii="Times New Roman" w:hAnsi="Times New Roman"/>
                <w:b w:val="0"/>
                <w:noProof/>
                <w:webHidden/>
                <w:sz w:val="28"/>
              </w:rPr>
              <w:t>354</w:t>
            </w:r>
            <w:r w:rsidR="002B66F3" w:rsidRPr="00B31D29">
              <w:rPr>
                <w:rFonts w:ascii="Times New Roman" w:hAnsi="Times New Roman"/>
                <w:b w:val="0"/>
                <w:noProof/>
                <w:webHidden/>
                <w:sz w:val="28"/>
              </w:rPr>
              <w:fldChar w:fldCharType="end"/>
            </w:r>
          </w:hyperlink>
        </w:p>
        <w:p w14:paraId="42183FFE" w14:textId="196F5EFF" w:rsidR="002B66F3" w:rsidRPr="00B31D29" w:rsidRDefault="004406D7">
          <w:pPr>
            <w:pStyle w:val="TOC20"/>
            <w:rPr>
              <w:rFonts w:ascii="Times New Roman" w:eastAsiaTheme="minorEastAsia" w:hAnsi="Times New Roman"/>
              <w:b w:val="0"/>
              <w:noProof/>
              <w:sz w:val="28"/>
            </w:rPr>
          </w:pPr>
          <w:hyperlink w:anchor="_Toc504798758" w:history="1">
            <w:r w:rsidR="002B66F3" w:rsidRPr="00B31D29">
              <w:rPr>
                <w:rStyle w:val="Hyperlink"/>
                <w:rFonts w:ascii="Times New Roman" w:hAnsi="Times New Roman"/>
                <w:b w:val="0"/>
                <w:smallCaps/>
                <w:noProof/>
                <w:color w:val="000000" w:themeColor="text1"/>
                <w:sz w:val="28"/>
              </w:rPr>
              <w:t>B. The Small-Items and Impracticable Exceptions</w:t>
            </w:r>
            <w:r w:rsidR="002B66F3" w:rsidRPr="00B31D29">
              <w:rPr>
                <w:rFonts w:ascii="Times New Roman" w:hAnsi="Times New Roman"/>
                <w:b w:val="0"/>
                <w:noProof/>
                <w:webHidden/>
                <w:sz w:val="28"/>
              </w:rPr>
              <w:tab/>
            </w:r>
            <w:r w:rsidR="002B66F3" w:rsidRPr="00B31D29">
              <w:rPr>
                <w:rFonts w:ascii="Times New Roman" w:hAnsi="Times New Roman"/>
                <w:b w:val="0"/>
                <w:noProof/>
                <w:webHidden/>
                <w:sz w:val="28"/>
              </w:rPr>
              <w:fldChar w:fldCharType="begin"/>
            </w:r>
            <w:r w:rsidR="002B66F3" w:rsidRPr="00B31D29">
              <w:rPr>
                <w:rFonts w:ascii="Times New Roman" w:hAnsi="Times New Roman"/>
                <w:b w:val="0"/>
                <w:noProof/>
                <w:webHidden/>
                <w:sz w:val="28"/>
              </w:rPr>
              <w:instrText xml:space="preserve"> PAGEREF _Toc504798758 \h </w:instrText>
            </w:r>
            <w:r w:rsidR="002B66F3" w:rsidRPr="00B31D29">
              <w:rPr>
                <w:rFonts w:ascii="Times New Roman" w:hAnsi="Times New Roman"/>
                <w:b w:val="0"/>
                <w:noProof/>
                <w:webHidden/>
                <w:sz w:val="28"/>
              </w:rPr>
            </w:r>
            <w:r w:rsidR="002B66F3" w:rsidRPr="00B31D29">
              <w:rPr>
                <w:rFonts w:ascii="Times New Roman" w:hAnsi="Times New Roman"/>
                <w:b w:val="0"/>
                <w:noProof/>
                <w:webHidden/>
                <w:sz w:val="28"/>
              </w:rPr>
              <w:fldChar w:fldCharType="separate"/>
            </w:r>
            <w:r w:rsidR="00203FC5" w:rsidRPr="00B31D29">
              <w:rPr>
                <w:rFonts w:ascii="Times New Roman" w:hAnsi="Times New Roman"/>
                <w:b w:val="0"/>
                <w:noProof/>
                <w:webHidden/>
                <w:sz w:val="28"/>
              </w:rPr>
              <w:t>355</w:t>
            </w:r>
            <w:r w:rsidR="002B66F3" w:rsidRPr="00B31D29">
              <w:rPr>
                <w:rFonts w:ascii="Times New Roman" w:hAnsi="Times New Roman"/>
                <w:b w:val="0"/>
                <w:noProof/>
                <w:webHidden/>
                <w:sz w:val="28"/>
              </w:rPr>
              <w:fldChar w:fldCharType="end"/>
            </w:r>
          </w:hyperlink>
        </w:p>
        <w:p w14:paraId="375BCF70" w14:textId="5FC0E795" w:rsidR="002B66F3" w:rsidRPr="00B31D29" w:rsidRDefault="004406D7">
          <w:pPr>
            <w:pStyle w:val="TOC20"/>
            <w:rPr>
              <w:rFonts w:ascii="Times New Roman" w:eastAsiaTheme="minorEastAsia" w:hAnsi="Times New Roman"/>
              <w:b w:val="0"/>
              <w:noProof/>
              <w:sz w:val="28"/>
            </w:rPr>
          </w:pPr>
          <w:hyperlink w:anchor="_Toc504798759" w:history="1">
            <w:r w:rsidR="002B66F3" w:rsidRPr="00B31D29">
              <w:rPr>
                <w:rStyle w:val="Hyperlink"/>
                <w:rFonts w:ascii="Times New Roman" w:hAnsi="Times New Roman"/>
                <w:b w:val="0"/>
                <w:noProof/>
                <w:color w:val="000000" w:themeColor="text1"/>
                <w:sz w:val="28"/>
              </w:rPr>
              <w:t>C. </w:t>
            </w:r>
            <w:r w:rsidR="002B66F3" w:rsidRPr="00B31D29">
              <w:rPr>
                <w:rStyle w:val="Hyperlink"/>
                <w:rFonts w:ascii="Times New Roman" w:hAnsi="Times New Roman"/>
                <w:b w:val="0"/>
                <w:smallCaps/>
                <w:noProof/>
                <w:color w:val="000000" w:themeColor="text1"/>
                <w:sz w:val="28"/>
              </w:rPr>
              <w:t>States Grapple with Loopholes</w:t>
            </w:r>
            <w:r w:rsidR="002B66F3" w:rsidRPr="00B31D29">
              <w:rPr>
                <w:rFonts w:ascii="Times New Roman" w:hAnsi="Times New Roman"/>
                <w:b w:val="0"/>
                <w:noProof/>
                <w:webHidden/>
                <w:sz w:val="28"/>
              </w:rPr>
              <w:tab/>
            </w:r>
            <w:r w:rsidR="002B66F3" w:rsidRPr="00B31D29">
              <w:rPr>
                <w:rFonts w:ascii="Times New Roman" w:hAnsi="Times New Roman"/>
                <w:b w:val="0"/>
                <w:noProof/>
                <w:webHidden/>
                <w:sz w:val="28"/>
              </w:rPr>
              <w:fldChar w:fldCharType="begin"/>
            </w:r>
            <w:r w:rsidR="002B66F3" w:rsidRPr="00B31D29">
              <w:rPr>
                <w:rFonts w:ascii="Times New Roman" w:hAnsi="Times New Roman"/>
                <w:b w:val="0"/>
                <w:noProof/>
                <w:webHidden/>
                <w:sz w:val="28"/>
              </w:rPr>
              <w:instrText xml:space="preserve"> PAGEREF _Toc504798759 \h </w:instrText>
            </w:r>
            <w:r w:rsidR="002B66F3" w:rsidRPr="00B31D29">
              <w:rPr>
                <w:rFonts w:ascii="Times New Roman" w:hAnsi="Times New Roman"/>
                <w:b w:val="0"/>
                <w:noProof/>
                <w:webHidden/>
                <w:sz w:val="28"/>
              </w:rPr>
            </w:r>
            <w:r w:rsidR="002B66F3" w:rsidRPr="00B31D29">
              <w:rPr>
                <w:rFonts w:ascii="Times New Roman" w:hAnsi="Times New Roman"/>
                <w:b w:val="0"/>
                <w:noProof/>
                <w:webHidden/>
                <w:sz w:val="28"/>
              </w:rPr>
              <w:fldChar w:fldCharType="separate"/>
            </w:r>
            <w:r w:rsidR="00203FC5" w:rsidRPr="00B31D29">
              <w:rPr>
                <w:rFonts w:ascii="Times New Roman" w:hAnsi="Times New Roman"/>
                <w:b w:val="0"/>
                <w:noProof/>
                <w:webHidden/>
                <w:sz w:val="28"/>
              </w:rPr>
              <w:t>359</w:t>
            </w:r>
            <w:r w:rsidR="002B66F3" w:rsidRPr="00B31D29">
              <w:rPr>
                <w:rFonts w:ascii="Times New Roman" w:hAnsi="Times New Roman"/>
                <w:b w:val="0"/>
                <w:noProof/>
                <w:webHidden/>
                <w:sz w:val="28"/>
              </w:rPr>
              <w:fldChar w:fldCharType="end"/>
            </w:r>
          </w:hyperlink>
        </w:p>
        <w:p w14:paraId="5831BF32" w14:textId="24A4515E" w:rsidR="002B66F3" w:rsidRPr="00B31D29" w:rsidRDefault="004406D7">
          <w:pPr>
            <w:pStyle w:val="TOC10"/>
            <w:rPr>
              <w:rFonts w:ascii="Times New Roman" w:eastAsiaTheme="minorEastAsia" w:hAnsi="Times New Roman"/>
              <w:b w:val="0"/>
              <w:noProof/>
              <w:sz w:val="28"/>
              <w:szCs w:val="22"/>
            </w:rPr>
          </w:pPr>
          <w:hyperlink w:anchor="_Toc504798760" w:history="1">
            <w:r w:rsidR="00E13DEF" w:rsidRPr="00B31D29">
              <w:rPr>
                <w:rStyle w:val="Hyperlink"/>
                <w:rFonts w:ascii="Times New Roman" w:hAnsi="Times New Roman"/>
                <w:b w:val="0"/>
                <w:noProof/>
                <w:color w:val="000000" w:themeColor="text1"/>
                <w:sz w:val="28"/>
                <w:szCs w:val="22"/>
              </w:rPr>
              <w:t>IV. NATIVE ADVERTISING</w:t>
            </w:r>
            <w:r w:rsidR="00E13DEF" w:rsidRPr="00B31D29">
              <w:rPr>
                <w:rFonts w:ascii="Times New Roman" w:hAnsi="Times New Roman"/>
                <w:b w:val="0"/>
                <w:noProof/>
                <w:webHidden/>
                <w:sz w:val="28"/>
                <w:szCs w:val="22"/>
              </w:rPr>
              <w:tab/>
            </w:r>
            <w:r w:rsidR="002B66F3" w:rsidRPr="00B31D29">
              <w:rPr>
                <w:rFonts w:ascii="Times New Roman" w:hAnsi="Times New Roman"/>
                <w:b w:val="0"/>
                <w:noProof/>
                <w:webHidden/>
                <w:sz w:val="28"/>
                <w:szCs w:val="22"/>
              </w:rPr>
              <w:fldChar w:fldCharType="begin"/>
            </w:r>
            <w:r w:rsidR="002B66F3" w:rsidRPr="00B31D29">
              <w:rPr>
                <w:rFonts w:ascii="Times New Roman" w:hAnsi="Times New Roman"/>
                <w:b w:val="0"/>
                <w:noProof/>
                <w:webHidden/>
                <w:sz w:val="28"/>
                <w:szCs w:val="22"/>
              </w:rPr>
              <w:instrText xml:space="preserve"> PAGEREF _Toc504798760 \h </w:instrText>
            </w:r>
            <w:r w:rsidR="002B66F3" w:rsidRPr="00B31D29">
              <w:rPr>
                <w:rFonts w:ascii="Times New Roman" w:hAnsi="Times New Roman"/>
                <w:b w:val="0"/>
                <w:noProof/>
                <w:webHidden/>
                <w:sz w:val="28"/>
                <w:szCs w:val="22"/>
              </w:rPr>
            </w:r>
            <w:r w:rsidR="002B66F3" w:rsidRPr="00B31D29">
              <w:rPr>
                <w:rFonts w:ascii="Times New Roman" w:hAnsi="Times New Roman"/>
                <w:b w:val="0"/>
                <w:noProof/>
                <w:webHidden/>
                <w:sz w:val="28"/>
                <w:szCs w:val="22"/>
              </w:rPr>
              <w:fldChar w:fldCharType="separate"/>
            </w:r>
            <w:r w:rsidR="00203FC5" w:rsidRPr="00B31D29">
              <w:rPr>
                <w:rFonts w:ascii="Times New Roman" w:hAnsi="Times New Roman"/>
                <w:b w:val="0"/>
                <w:noProof/>
                <w:webHidden/>
                <w:sz w:val="28"/>
                <w:szCs w:val="22"/>
              </w:rPr>
              <w:t>361</w:t>
            </w:r>
            <w:r w:rsidR="002B66F3" w:rsidRPr="00B31D29">
              <w:rPr>
                <w:rFonts w:ascii="Times New Roman" w:hAnsi="Times New Roman"/>
                <w:b w:val="0"/>
                <w:noProof/>
                <w:webHidden/>
                <w:sz w:val="28"/>
                <w:szCs w:val="22"/>
              </w:rPr>
              <w:fldChar w:fldCharType="end"/>
            </w:r>
          </w:hyperlink>
        </w:p>
        <w:p w14:paraId="0780D442" w14:textId="73E7CE60" w:rsidR="002B66F3" w:rsidRPr="00B31D29" w:rsidRDefault="004406D7">
          <w:pPr>
            <w:pStyle w:val="TOC20"/>
            <w:rPr>
              <w:rFonts w:ascii="Times New Roman" w:eastAsiaTheme="minorEastAsia" w:hAnsi="Times New Roman"/>
              <w:b w:val="0"/>
              <w:noProof/>
              <w:sz w:val="28"/>
            </w:rPr>
          </w:pPr>
          <w:hyperlink w:anchor="_Toc504798761" w:history="1">
            <w:r w:rsidR="002B66F3" w:rsidRPr="00B31D29">
              <w:rPr>
                <w:rStyle w:val="Hyperlink"/>
                <w:rFonts w:ascii="Times New Roman" w:hAnsi="Times New Roman"/>
                <w:b w:val="0"/>
                <w:smallCaps/>
                <w:noProof/>
                <w:color w:val="000000" w:themeColor="text1"/>
                <w:sz w:val="28"/>
              </w:rPr>
              <w:t>A. Growth of Digital Communication</w:t>
            </w:r>
            <w:r w:rsidR="002B66F3" w:rsidRPr="00B31D29">
              <w:rPr>
                <w:rFonts w:ascii="Times New Roman" w:hAnsi="Times New Roman"/>
                <w:b w:val="0"/>
                <w:noProof/>
                <w:webHidden/>
                <w:sz w:val="28"/>
              </w:rPr>
              <w:tab/>
            </w:r>
            <w:r w:rsidR="002B66F3" w:rsidRPr="00B31D29">
              <w:rPr>
                <w:rFonts w:ascii="Times New Roman" w:hAnsi="Times New Roman"/>
                <w:b w:val="0"/>
                <w:noProof/>
                <w:webHidden/>
                <w:sz w:val="28"/>
              </w:rPr>
              <w:fldChar w:fldCharType="begin"/>
            </w:r>
            <w:r w:rsidR="002B66F3" w:rsidRPr="00B31D29">
              <w:rPr>
                <w:rFonts w:ascii="Times New Roman" w:hAnsi="Times New Roman"/>
                <w:b w:val="0"/>
                <w:noProof/>
                <w:webHidden/>
                <w:sz w:val="28"/>
              </w:rPr>
              <w:instrText xml:space="preserve"> PAGEREF _Toc504798761 \h </w:instrText>
            </w:r>
            <w:r w:rsidR="002B66F3" w:rsidRPr="00B31D29">
              <w:rPr>
                <w:rFonts w:ascii="Times New Roman" w:hAnsi="Times New Roman"/>
                <w:b w:val="0"/>
                <w:noProof/>
                <w:webHidden/>
                <w:sz w:val="28"/>
              </w:rPr>
            </w:r>
            <w:r w:rsidR="002B66F3" w:rsidRPr="00B31D29">
              <w:rPr>
                <w:rFonts w:ascii="Times New Roman" w:hAnsi="Times New Roman"/>
                <w:b w:val="0"/>
                <w:noProof/>
                <w:webHidden/>
                <w:sz w:val="28"/>
              </w:rPr>
              <w:fldChar w:fldCharType="separate"/>
            </w:r>
            <w:r w:rsidR="00203FC5" w:rsidRPr="00B31D29">
              <w:rPr>
                <w:rFonts w:ascii="Times New Roman" w:hAnsi="Times New Roman"/>
                <w:b w:val="0"/>
                <w:noProof/>
                <w:webHidden/>
                <w:sz w:val="28"/>
              </w:rPr>
              <w:t>361</w:t>
            </w:r>
            <w:r w:rsidR="002B66F3" w:rsidRPr="00B31D29">
              <w:rPr>
                <w:rFonts w:ascii="Times New Roman" w:hAnsi="Times New Roman"/>
                <w:b w:val="0"/>
                <w:noProof/>
                <w:webHidden/>
                <w:sz w:val="28"/>
              </w:rPr>
              <w:fldChar w:fldCharType="end"/>
            </w:r>
          </w:hyperlink>
        </w:p>
        <w:p w14:paraId="745B9B73" w14:textId="5C07B7C9" w:rsidR="002B66F3" w:rsidRPr="00B31D29" w:rsidRDefault="004406D7">
          <w:pPr>
            <w:pStyle w:val="TOC20"/>
            <w:rPr>
              <w:rFonts w:ascii="Times New Roman" w:eastAsiaTheme="minorEastAsia" w:hAnsi="Times New Roman"/>
              <w:b w:val="0"/>
              <w:noProof/>
              <w:sz w:val="28"/>
            </w:rPr>
          </w:pPr>
          <w:hyperlink w:anchor="_Toc504798762" w:history="1">
            <w:r w:rsidR="002B66F3" w:rsidRPr="00B31D29">
              <w:rPr>
                <w:rStyle w:val="Hyperlink"/>
                <w:rFonts w:ascii="Times New Roman" w:hAnsi="Times New Roman"/>
                <w:b w:val="0"/>
                <w:smallCaps/>
                <w:noProof/>
                <w:color w:val="000000" w:themeColor="text1"/>
                <w:sz w:val="28"/>
              </w:rPr>
              <w:t>B. Politicians Go Native</w:t>
            </w:r>
            <w:r w:rsidR="002B66F3" w:rsidRPr="00B31D29">
              <w:rPr>
                <w:rFonts w:ascii="Times New Roman" w:hAnsi="Times New Roman"/>
                <w:b w:val="0"/>
                <w:noProof/>
                <w:webHidden/>
                <w:sz w:val="28"/>
              </w:rPr>
              <w:tab/>
            </w:r>
            <w:r w:rsidR="002B66F3" w:rsidRPr="00B31D29">
              <w:rPr>
                <w:rFonts w:ascii="Times New Roman" w:hAnsi="Times New Roman"/>
                <w:b w:val="0"/>
                <w:noProof/>
                <w:webHidden/>
                <w:sz w:val="28"/>
              </w:rPr>
              <w:fldChar w:fldCharType="begin"/>
            </w:r>
            <w:r w:rsidR="002B66F3" w:rsidRPr="00B31D29">
              <w:rPr>
                <w:rFonts w:ascii="Times New Roman" w:hAnsi="Times New Roman"/>
                <w:b w:val="0"/>
                <w:noProof/>
                <w:webHidden/>
                <w:sz w:val="28"/>
              </w:rPr>
              <w:instrText xml:space="preserve"> PAGEREF _Toc504798762 \h </w:instrText>
            </w:r>
            <w:r w:rsidR="002B66F3" w:rsidRPr="00B31D29">
              <w:rPr>
                <w:rFonts w:ascii="Times New Roman" w:hAnsi="Times New Roman"/>
                <w:b w:val="0"/>
                <w:noProof/>
                <w:webHidden/>
                <w:sz w:val="28"/>
              </w:rPr>
            </w:r>
            <w:r w:rsidR="002B66F3" w:rsidRPr="00B31D29">
              <w:rPr>
                <w:rFonts w:ascii="Times New Roman" w:hAnsi="Times New Roman"/>
                <w:b w:val="0"/>
                <w:noProof/>
                <w:webHidden/>
                <w:sz w:val="28"/>
              </w:rPr>
              <w:fldChar w:fldCharType="separate"/>
            </w:r>
            <w:r w:rsidR="00203FC5" w:rsidRPr="00B31D29">
              <w:rPr>
                <w:rFonts w:ascii="Times New Roman" w:hAnsi="Times New Roman"/>
                <w:b w:val="0"/>
                <w:noProof/>
                <w:webHidden/>
                <w:sz w:val="28"/>
              </w:rPr>
              <w:t>362</w:t>
            </w:r>
            <w:r w:rsidR="002B66F3" w:rsidRPr="00B31D29">
              <w:rPr>
                <w:rFonts w:ascii="Times New Roman" w:hAnsi="Times New Roman"/>
                <w:b w:val="0"/>
                <w:noProof/>
                <w:webHidden/>
                <w:sz w:val="28"/>
              </w:rPr>
              <w:fldChar w:fldCharType="end"/>
            </w:r>
          </w:hyperlink>
        </w:p>
        <w:p w14:paraId="796782CF" w14:textId="59CBD92F" w:rsidR="002B66F3" w:rsidRPr="00B31D29" w:rsidRDefault="004406D7">
          <w:pPr>
            <w:pStyle w:val="TOC20"/>
            <w:rPr>
              <w:rFonts w:ascii="Times New Roman" w:eastAsiaTheme="minorEastAsia" w:hAnsi="Times New Roman"/>
              <w:b w:val="0"/>
              <w:noProof/>
              <w:sz w:val="28"/>
            </w:rPr>
          </w:pPr>
          <w:hyperlink w:anchor="_Toc504798763" w:history="1">
            <w:r w:rsidR="002B66F3" w:rsidRPr="00B31D29">
              <w:rPr>
                <w:rStyle w:val="Hyperlink"/>
                <w:rFonts w:ascii="Times New Roman" w:hAnsi="Times New Roman"/>
                <w:b w:val="0"/>
                <w:smallCaps/>
                <w:noProof/>
                <w:color w:val="000000" w:themeColor="text1"/>
                <w:sz w:val="28"/>
              </w:rPr>
              <w:t>C. Potential for Self-Regulation by Online Platforms</w:t>
            </w:r>
            <w:r w:rsidR="002B66F3" w:rsidRPr="00B31D29">
              <w:rPr>
                <w:rFonts w:ascii="Times New Roman" w:hAnsi="Times New Roman"/>
                <w:b w:val="0"/>
                <w:noProof/>
                <w:webHidden/>
                <w:sz w:val="28"/>
              </w:rPr>
              <w:tab/>
            </w:r>
            <w:r w:rsidR="002B66F3" w:rsidRPr="00B31D29">
              <w:rPr>
                <w:rFonts w:ascii="Times New Roman" w:hAnsi="Times New Roman"/>
                <w:b w:val="0"/>
                <w:noProof/>
                <w:webHidden/>
                <w:sz w:val="28"/>
              </w:rPr>
              <w:fldChar w:fldCharType="begin"/>
            </w:r>
            <w:r w:rsidR="002B66F3" w:rsidRPr="00B31D29">
              <w:rPr>
                <w:rFonts w:ascii="Times New Roman" w:hAnsi="Times New Roman"/>
                <w:b w:val="0"/>
                <w:noProof/>
                <w:webHidden/>
                <w:sz w:val="28"/>
              </w:rPr>
              <w:instrText xml:space="preserve"> PAGEREF _Toc504798763 \h </w:instrText>
            </w:r>
            <w:r w:rsidR="002B66F3" w:rsidRPr="00B31D29">
              <w:rPr>
                <w:rFonts w:ascii="Times New Roman" w:hAnsi="Times New Roman"/>
                <w:b w:val="0"/>
                <w:noProof/>
                <w:webHidden/>
                <w:sz w:val="28"/>
              </w:rPr>
            </w:r>
            <w:r w:rsidR="002B66F3" w:rsidRPr="00B31D29">
              <w:rPr>
                <w:rFonts w:ascii="Times New Roman" w:hAnsi="Times New Roman"/>
                <w:b w:val="0"/>
                <w:noProof/>
                <w:webHidden/>
                <w:sz w:val="28"/>
              </w:rPr>
              <w:fldChar w:fldCharType="separate"/>
            </w:r>
            <w:r w:rsidR="00203FC5" w:rsidRPr="00B31D29">
              <w:rPr>
                <w:rFonts w:ascii="Times New Roman" w:hAnsi="Times New Roman"/>
                <w:b w:val="0"/>
                <w:noProof/>
                <w:webHidden/>
                <w:sz w:val="28"/>
              </w:rPr>
              <w:t>366</w:t>
            </w:r>
            <w:r w:rsidR="002B66F3" w:rsidRPr="00B31D29">
              <w:rPr>
                <w:rFonts w:ascii="Times New Roman" w:hAnsi="Times New Roman"/>
                <w:b w:val="0"/>
                <w:noProof/>
                <w:webHidden/>
                <w:sz w:val="28"/>
              </w:rPr>
              <w:fldChar w:fldCharType="end"/>
            </w:r>
          </w:hyperlink>
        </w:p>
        <w:p w14:paraId="13123F1B" w14:textId="4FA61399" w:rsidR="002B66F3" w:rsidRPr="00B31D29" w:rsidRDefault="004406D7">
          <w:pPr>
            <w:pStyle w:val="TOC20"/>
            <w:rPr>
              <w:rFonts w:ascii="Times New Roman" w:eastAsiaTheme="minorEastAsia" w:hAnsi="Times New Roman"/>
              <w:b w:val="0"/>
              <w:noProof/>
              <w:sz w:val="28"/>
            </w:rPr>
          </w:pPr>
          <w:hyperlink w:anchor="_Toc504798764" w:history="1">
            <w:r w:rsidR="002B66F3" w:rsidRPr="00B31D29">
              <w:rPr>
                <w:rStyle w:val="Hyperlink"/>
                <w:rFonts w:ascii="Times New Roman" w:hAnsi="Times New Roman"/>
                <w:b w:val="0"/>
                <w:smallCaps/>
                <w:noProof/>
                <w:color w:val="000000" w:themeColor="text1"/>
                <w:sz w:val="28"/>
              </w:rPr>
              <w:t>D. A Proposal for Closing the Loopholes</w:t>
            </w:r>
            <w:r w:rsidR="002B66F3" w:rsidRPr="00B31D29">
              <w:rPr>
                <w:rFonts w:ascii="Times New Roman" w:hAnsi="Times New Roman"/>
                <w:b w:val="0"/>
                <w:noProof/>
                <w:webHidden/>
                <w:sz w:val="28"/>
              </w:rPr>
              <w:tab/>
            </w:r>
            <w:r w:rsidR="002B66F3" w:rsidRPr="00B31D29">
              <w:rPr>
                <w:rFonts w:ascii="Times New Roman" w:hAnsi="Times New Roman"/>
                <w:b w:val="0"/>
                <w:noProof/>
                <w:webHidden/>
                <w:sz w:val="28"/>
              </w:rPr>
              <w:fldChar w:fldCharType="begin"/>
            </w:r>
            <w:r w:rsidR="002B66F3" w:rsidRPr="00B31D29">
              <w:rPr>
                <w:rFonts w:ascii="Times New Roman" w:hAnsi="Times New Roman"/>
                <w:b w:val="0"/>
                <w:noProof/>
                <w:webHidden/>
                <w:sz w:val="28"/>
              </w:rPr>
              <w:instrText xml:space="preserve"> PAGEREF _Toc504798764 \h </w:instrText>
            </w:r>
            <w:r w:rsidR="002B66F3" w:rsidRPr="00B31D29">
              <w:rPr>
                <w:rFonts w:ascii="Times New Roman" w:hAnsi="Times New Roman"/>
                <w:b w:val="0"/>
                <w:noProof/>
                <w:webHidden/>
                <w:sz w:val="28"/>
              </w:rPr>
            </w:r>
            <w:r w:rsidR="002B66F3" w:rsidRPr="00B31D29">
              <w:rPr>
                <w:rFonts w:ascii="Times New Roman" w:hAnsi="Times New Roman"/>
                <w:b w:val="0"/>
                <w:noProof/>
                <w:webHidden/>
                <w:sz w:val="28"/>
              </w:rPr>
              <w:fldChar w:fldCharType="separate"/>
            </w:r>
            <w:r w:rsidR="00203FC5" w:rsidRPr="00B31D29">
              <w:rPr>
                <w:rFonts w:ascii="Times New Roman" w:hAnsi="Times New Roman"/>
                <w:b w:val="0"/>
                <w:noProof/>
                <w:webHidden/>
                <w:sz w:val="28"/>
              </w:rPr>
              <w:t>369</w:t>
            </w:r>
            <w:r w:rsidR="002B66F3" w:rsidRPr="00B31D29">
              <w:rPr>
                <w:rFonts w:ascii="Times New Roman" w:hAnsi="Times New Roman"/>
                <w:b w:val="0"/>
                <w:noProof/>
                <w:webHidden/>
                <w:sz w:val="28"/>
              </w:rPr>
              <w:fldChar w:fldCharType="end"/>
            </w:r>
          </w:hyperlink>
        </w:p>
        <w:p w14:paraId="3E0BA4AF" w14:textId="314AAF2C" w:rsidR="002B66F3" w:rsidRPr="00B31D29" w:rsidRDefault="004406D7">
          <w:pPr>
            <w:pStyle w:val="TOC10"/>
            <w:rPr>
              <w:rFonts w:ascii="Times New Roman" w:eastAsiaTheme="minorEastAsia" w:hAnsi="Times New Roman"/>
              <w:b w:val="0"/>
              <w:noProof/>
              <w:sz w:val="28"/>
              <w:szCs w:val="22"/>
            </w:rPr>
          </w:pPr>
          <w:hyperlink w:anchor="_Toc504798765" w:history="1">
            <w:r w:rsidR="002B66F3" w:rsidRPr="00B31D29">
              <w:rPr>
                <w:rStyle w:val="Hyperlink"/>
                <w:rFonts w:ascii="Times New Roman" w:hAnsi="Times New Roman"/>
                <w:b w:val="0"/>
                <w:noProof/>
                <w:color w:val="000000" w:themeColor="text1"/>
                <w:sz w:val="28"/>
                <w:szCs w:val="22"/>
              </w:rPr>
              <w:t>CONCLUSION</w:t>
            </w:r>
            <w:r w:rsidR="002B66F3" w:rsidRPr="00B31D29">
              <w:rPr>
                <w:rFonts w:ascii="Times New Roman" w:hAnsi="Times New Roman"/>
                <w:b w:val="0"/>
                <w:noProof/>
                <w:webHidden/>
                <w:sz w:val="28"/>
                <w:szCs w:val="22"/>
              </w:rPr>
              <w:tab/>
            </w:r>
            <w:r w:rsidR="002B66F3" w:rsidRPr="00B31D29">
              <w:rPr>
                <w:rFonts w:ascii="Times New Roman" w:hAnsi="Times New Roman"/>
                <w:b w:val="0"/>
                <w:noProof/>
                <w:webHidden/>
                <w:sz w:val="28"/>
                <w:szCs w:val="22"/>
              </w:rPr>
              <w:fldChar w:fldCharType="begin"/>
            </w:r>
            <w:r w:rsidR="002B66F3" w:rsidRPr="00B31D29">
              <w:rPr>
                <w:rFonts w:ascii="Times New Roman" w:hAnsi="Times New Roman"/>
                <w:b w:val="0"/>
                <w:noProof/>
                <w:webHidden/>
                <w:sz w:val="28"/>
                <w:szCs w:val="22"/>
              </w:rPr>
              <w:instrText xml:space="preserve"> PAGEREF _Toc504798765 \h </w:instrText>
            </w:r>
            <w:r w:rsidR="002B66F3" w:rsidRPr="00B31D29">
              <w:rPr>
                <w:rFonts w:ascii="Times New Roman" w:hAnsi="Times New Roman"/>
                <w:b w:val="0"/>
                <w:noProof/>
                <w:webHidden/>
                <w:sz w:val="28"/>
                <w:szCs w:val="22"/>
              </w:rPr>
            </w:r>
            <w:r w:rsidR="002B66F3" w:rsidRPr="00B31D29">
              <w:rPr>
                <w:rFonts w:ascii="Times New Roman" w:hAnsi="Times New Roman"/>
                <w:b w:val="0"/>
                <w:noProof/>
                <w:webHidden/>
                <w:sz w:val="28"/>
                <w:szCs w:val="22"/>
              </w:rPr>
              <w:fldChar w:fldCharType="separate"/>
            </w:r>
            <w:r w:rsidR="00203FC5" w:rsidRPr="00B31D29">
              <w:rPr>
                <w:rFonts w:ascii="Times New Roman" w:hAnsi="Times New Roman"/>
                <w:b w:val="0"/>
                <w:noProof/>
                <w:webHidden/>
                <w:sz w:val="28"/>
                <w:szCs w:val="22"/>
              </w:rPr>
              <w:t>373</w:t>
            </w:r>
            <w:r w:rsidR="002B66F3" w:rsidRPr="00B31D29">
              <w:rPr>
                <w:rFonts w:ascii="Times New Roman" w:hAnsi="Times New Roman"/>
                <w:b w:val="0"/>
                <w:noProof/>
                <w:webHidden/>
                <w:sz w:val="28"/>
                <w:szCs w:val="22"/>
              </w:rPr>
              <w:fldChar w:fldCharType="end"/>
            </w:r>
          </w:hyperlink>
        </w:p>
        <w:p w14:paraId="28E1E7EF" w14:textId="5D527517" w:rsidR="002B66F3" w:rsidRPr="00B31D29" w:rsidRDefault="002B66F3" w:rsidP="00BA13DF">
          <w:pPr>
            <w:spacing w:line="260" w:lineRule="exact"/>
            <w:rPr>
              <w:sz w:val="32"/>
            </w:rPr>
          </w:pPr>
          <w:r w:rsidRPr="00B31D29">
            <w:rPr>
              <w:bCs/>
              <w:noProof/>
              <w:color w:val="000000" w:themeColor="text1"/>
              <w:sz w:val="28"/>
              <w:szCs w:val="22"/>
            </w:rPr>
            <w:fldChar w:fldCharType="end"/>
          </w:r>
        </w:p>
      </w:sdtContent>
    </w:sdt>
    <w:p w14:paraId="6A75C0A5" w14:textId="3ABAD797" w:rsidR="005536CD" w:rsidRPr="00B31D29" w:rsidRDefault="005536CD" w:rsidP="00BA13DF">
      <w:pPr>
        <w:pStyle w:val="SubHead1"/>
        <w:spacing w:before="0"/>
        <w:outlineLvl w:val="0"/>
        <w:rPr>
          <w:sz w:val="28"/>
        </w:rPr>
      </w:pPr>
      <w:bookmarkStart w:id="1" w:name="_Toc504798748"/>
      <w:r w:rsidRPr="00B31D29">
        <w:rPr>
          <w:sz w:val="28"/>
        </w:rPr>
        <w:t>Introduction</w:t>
      </w:r>
      <w:bookmarkEnd w:id="1"/>
    </w:p>
    <w:p w14:paraId="426C7A5E" w14:textId="33BDB649" w:rsidR="005536CD" w:rsidRPr="00B31D29" w:rsidRDefault="005536CD" w:rsidP="00637AD3">
      <w:pPr>
        <w:pStyle w:val="Document"/>
        <w:widowControl w:val="0"/>
        <w:rPr>
          <w:sz w:val="28"/>
        </w:rPr>
      </w:pPr>
      <w:r w:rsidRPr="00B31D29">
        <w:rPr>
          <w:sz w:val="28"/>
        </w:rPr>
        <w:t>Political advertising is undergoing what some experts have coined a “revolution,” as digital advertising catches up with</w:t>
      </w:r>
      <w:r w:rsidR="00165D18" w:rsidRPr="00B31D29">
        <w:rPr>
          <w:sz w:val="28"/>
        </w:rPr>
        <w:t>—</w:t>
      </w:r>
      <w:r w:rsidRPr="00B31D29">
        <w:rPr>
          <w:sz w:val="28"/>
        </w:rPr>
        <w:t>and looks poised to overtake</w:t>
      </w:r>
      <w:r w:rsidR="00165D18" w:rsidRPr="00B31D29">
        <w:rPr>
          <w:sz w:val="28"/>
        </w:rPr>
        <w:t>—</w:t>
      </w:r>
      <w:r w:rsidRPr="00B31D29">
        <w:rPr>
          <w:sz w:val="28"/>
        </w:rPr>
        <w:t>television advertising as the most effective way of reaching voters during a political campaign.</w:t>
      </w:r>
      <w:r w:rsidRPr="00B31D29">
        <w:rPr>
          <w:rStyle w:val="NoterefInText"/>
          <w:sz w:val="18"/>
        </w:rPr>
        <w:footnoteReference w:id="2"/>
      </w:r>
      <w:r w:rsidRPr="00B31D29">
        <w:rPr>
          <w:sz w:val="28"/>
        </w:rPr>
        <w:t xml:space="preserve"> An increasingly popular method of communicating with voters online is through native advertisements—ads that match the editorial content of media or technology platforms, making them less intrusive but also more difficult to identify as advertising. Native ads can be used to match a broad range of environments and now can be found in online newspapers, social media platforms like Facebook, and even mobile and video games. New native advertising techniques have become so sophisticated that, according to studies, many consumers cannot distinguish a native ad from editorial content.</w:t>
      </w:r>
      <w:bookmarkStart w:id="2" w:name="_Ref492481643"/>
      <w:r w:rsidRPr="00B31D29">
        <w:rPr>
          <w:rStyle w:val="NoterefInText"/>
          <w:sz w:val="18"/>
        </w:rPr>
        <w:footnoteReference w:id="3"/>
      </w:r>
      <w:bookmarkEnd w:id="2"/>
      <w:r w:rsidRPr="00B31D29">
        <w:rPr>
          <w:sz w:val="28"/>
        </w:rPr>
        <w:t xml:space="preserve"> Politicians have identified the potential appeal of native ads, particularly as a tool for engaging younger voters through popular mediums such as social media and games. But </w:t>
      </w:r>
      <w:r w:rsidR="00165D18" w:rsidRPr="00B31D29">
        <w:rPr>
          <w:sz w:val="28"/>
        </w:rPr>
        <w:t xml:space="preserve">in the political sphere, </w:t>
      </w:r>
      <w:r w:rsidRPr="00B31D29">
        <w:rPr>
          <w:sz w:val="28"/>
        </w:rPr>
        <w:t xml:space="preserve">due to several outdated loopholes in current federal election law, native ads may be exempt from </w:t>
      </w:r>
      <w:r w:rsidR="00165D18" w:rsidRPr="00B31D29">
        <w:rPr>
          <w:sz w:val="28"/>
        </w:rPr>
        <w:t xml:space="preserve">having to </w:t>
      </w:r>
      <w:r w:rsidRPr="00B31D29">
        <w:rPr>
          <w:sz w:val="28"/>
        </w:rPr>
        <w:t>includ</w:t>
      </w:r>
      <w:r w:rsidR="00165D18" w:rsidRPr="00B31D29">
        <w:rPr>
          <w:sz w:val="28"/>
        </w:rPr>
        <w:t>e</w:t>
      </w:r>
      <w:r w:rsidRPr="00B31D29">
        <w:rPr>
          <w:sz w:val="28"/>
        </w:rPr>
        <w:t xml:space="preserve"> typically mandatory disclaimers, making them particularly difficult to identify </w:t>
      </w:r>
      <w:r w:rsidRPr="00B31D29">
        <w:rPr>
          <w:sz w:val="28"/>
        </w:rPr>
        <w:lastRenderedPageBreak/>
        <w:t>as ad</w:t>
      </w:r>
      <w:r w:rsidR="0024318E" w:rsidRPr="00B31D29">
        <w:rPr>
          <w:sz w:val="28"/>
        </w:rPr>
        <w:t>vertisements</w:t>
      </w:r>
      <w:r w:rsidRPr="00B31D29">
        <w:rPr>
          <w:sz w:val="28"/>
        </w:rPr>
        <w:t>.</w:t>
      </w:r>
      <w:r w:rsidRPr="00B31D29">
        <w:rPr>
          <w:rStyle w:val="NoterefInText"/>
          <w:sz w:val="18"/>
        </w:rPr>
        <w:footnoteReference w:id="4"/>
      </w:r>
      <w:r w:rsidRPr="00B31D29">
        <w:rPr>
          <w:sz w:val="28"/>
        </w:rPr>
        <w:t xml:space="preserve"> This </w:t>
      </w:r>
      <w:r w:rsidR="000E07F8" w:rsidRPr="00B31D29">
        <w:rPr>
          <w:sz w:val="28"/>
        </w:rPr>
        <w:t>N</w:t>
      </w:r>
      <w:r w:rsidRPr="00B31D29">
        <w:rPr>
          <w:sz w:val="28"/>
        </w:rPr>
        <w:t>ote argues that native ad</w:t>
      </w:r>
      <w:r w:rsidR="00C8194C" w:rsidRPr="00B31D29">
        <w:rPr>
          <w:sz w:val="28"/>
        </w:rPr>
        <w:t>s</w:t>
      </w:r>
      <w:r w:rsidRPr="00B31D29">
        <w:rPr>
          <w:sz w:val="28"/>
        </w:rPr>
        <w:t xml:space="preserve"> create disclosure issues when they are used in settings such as mobile games</w:t>
      </w:r>
      <w:r w:rsidR="000E07F8" w:rsidRPr="00B31D29">
        <w:rPr>
          <w:sz w:val="28"/>
        </w:rPr>
        <w:t>,</w:t>
      </w:r>
      <w:r w:rsidRPr="00B31D29">
        <w:rPr>
          <w:sz w:val="28"/>
        </w:rPr>
        <w:t xml:space="preserve"> where users may have no expectation of seeing political advertisements</w:t>
      </w:r>
      <w:r w:rsidR="000E07F8" w:rsidRPr="00B31D29">
        <w:rPr>
          <w:sz w:val="28"/>
        </w:rPr>
        <w:t>,</w:t>
      </w:r>
      <w:r w:rsidRPr="00B31D29">
        <w:rPr>
          <w:sz w:val="28"/>
        </w:rPr>
        <w:t xml:space="preserve"> if the platforms are exempt from disclaimer requirements due to alleged practical limitations.</w:t>
      </w:r>
    </w:p>
    <w:p w14:paraId="569F4EB9" w14:textId="2AD4164E" w:rsidR="005536CD" w:rsidRPr="00B31D29" w:rsidRDefault="005536CD" w:rsidP="00637AD3">
      <w:pPr>
        <w:pStyle w:val="Document"/>
        <w:widowControl w:val="0"/>
        <w:rPr>
          <w:sz w:val="28"/>
        </w:rPr>
      </w:pPr>
      <w:r w:rsidRPr="00B31D29">
        <w:rPr>
          <w:sz w:val="28"/>
        </w:rPr>
        <w:t xml:space="preserve">Part I of </w:t>
      </w:r>
      <w:r w:rsidR="005A7F8B" w:rsidRPr="00B31D29">
        <w:rPr>
          <w:sz w:val="28"/>
        </w:rPr>
        <w:t>this Note</w:t>
      </w:r>
      <w:r w:rsidRPr="00B31D29">
        <w:rPr>
          <w:sz w:val="28"/>
        </w:rPr>
        <w:t xml:space="preserve"> provides a brief overview of the Supreme Court’s campaign finance jurisprudence since the seminal case, </w:t>
      </w:r>
      <w:r w:rsidRPr="00B31D29">
        <w:rPr>
          <w:i/>
          <w:sz w:val="28"/>
        </w:rPr>
        <w:t>Buckley v. Valeo</w:t>
      </w:r>
      <w:r w:rsidRPr="00B31D29">
        <w:rPr>
          <w:sz w:val="28"/>
        </w:rPr>
        <w:t>.</w:t>
      </w:r>
      <w:r w:rsidRPr="00B31D29">
        <w:rPr>
          <w:rStyle w:val="NoterefInText"/>
          <w:sz w:val="18"/>
        </w:rPr>
        <w:footnoteReference w:id="5"/>
      </w:r>
      <w:r w:rsidRPr="00B31D29">
        <w:rPr>
          <w:sz w:val="28"/>
        </w:rPr>
        <w:t xml:space="preserve"> In </w:t>
      </w:r>
      <w:r w:rsidRPr="00B31D29">
        <w:rPr>
          <w:i/>
          <w:sz w:val="28"/>
        </w:rPr>
        <w:t>Buckley</w:t>
      </w:r>
      <w:r w:rsidRPr="00B31D29">
        <w:rPr>
          <w:sz w:val="28"/>
        </w:rPr>
        <w:t>, the Supreme Court identified three governmental interests that support upholding campaign finance disclosure: providing voters with information, deterring corruption, and enforcing campaign finance laws.</w:t>
      </w:r>
      <w:r w:rsidRPr="00B31D29">
        <w:rPr>
          <w:rStyle w:val="NoterefInText"/>
          <w:sz w:val="18"/>
        </w:rPr>
        <w:footnoteReference w:id="6"/>
      </w:r>
      <w:r w:rsidRPr="00B31D29">
        <w:rPr>
          <w:sz w:val="28"/>
        </w:rPr>
        <w:t xml:space="preserve"> The cases discussed in Part I demonstrate that while the Supreme Court has gradually deregulated campaign finance laws in its jurisprudence since </w:t>
      </w:r>
      <w:r w:rsidRPr="00B31D29">
        <w:rPr>
          <w:i/>
          <w:sz w:val="28"/>
        </w:rPr>
        <w:t>Buckley</w:t>
      </w:r>
      <w:r w:rsidRPr="00B31D29">
        <w:rPr>
          <w:sz w:val="28"/>
        </w:rPr>
        <w:t>, it has continued to uphold disclosure as a “less restrictive alternative to more comprehensive regulations of speech.”</w:t>
      </w:r>
      <w:bookmarkStart w:id="3" w:name="_Ref492481628"/>
      <w:r w:rsidRPr="00B31D29">
        <w:rPr>
          <w:rStyle w:val="NoterefInText"/>
          <w:sz w:val="18"/>
        </w:rPr>
        <w:footnoteReference w:id="7"/>
      </w:r>
      <w:bookmarkEnd w:id="3"/>
    </w:p>
    <w:p w14:paraId="389C0299" w14:textId="08CB95C1" w:rsidR="005536CD" w:rsidRPr="00B31D29" w:rsidRDefault="005536CD" w:rsidP="00637AD3">
      <w:pPr>
        <w:pStyle w:val="Document"/>
        <w:widowControl w:val="0"/>
        <w:rPr>
          <w:sz w:val="28"/>
        </w:rPr>
      </w:pPr>
      <w:r w:rsidRPr="00B31D29">
        <w:rPr>
          <w:sz w:val="28"/>
        </w:rPr>
        <w:t xml:space="preserve">Part II examines several empirical studies to show that disclosure can in fact promote the informational interest laid out by the Court and that voters care about being informed. With this background in place, Part III turns to Internet-specific advertising and points out that disclosure regulation is significantly less robust for online advertising than for other forms of political communication. </w:t>
      </w:r>
      <w:r w:rsidR="00547B4A" w:rsidRPr="00B31D29">
        <w:rPr>
          <w:sz w:val="28"/>
        </w:rPr>
        <w:t>In particular, t</w:t>
      </w:r>
      <w:r w:rsidRPr="00B31D29">
        <w:rPr>
          <w:sz w:val="28"/>
        </w:rPr>
        <w:t xml:space="preserve">he </w:t>
      </w:r>
      <w:r w:rsidR="0024318E" w:rsidRPr="00B31D29">
        <w:rPr>
          <w:sz w:val="28"/>
        </w:rPr>
        <w:t xml:space="preserve">Federal Election Commission (“FEC”)’s </w:t>
      </w:r>
      <w:r w:rsidRPr="00B31D29">
        <w:rPr>
          <w:sz w:val="28"/>
        </w:rPr>
        <w:t>small</w:t>
      </w:r>
      <w:r w:rsidR="00C737B2" w:rsidRPr="00B31D29">
        <w:rPr>
          <w:sz w:val="28"/>
        </w:rPr>
        <w:t>-</w:t>
      </w:r>
      <w:r w:rsidRPr="00B31D29">
        <w:rPr>
          <w:sz w:val="28"/>
        </w:rPr>
        <w:t>items and impracticab</w:t>
      </w:r>
      <w:r w:rsidR="00AF30F4" w:rsidRPr="00B31D29">
        <w:rPr>
          <w:sz w:val="28"/>
        </w:rPr>
        <w:t>le exceptions</w:t>
      </w:r>
      <w:r w:rsidR="00384BC3" w:rsidRPr="00B31D29">
        <w:rPr>
          <w:sz w:val="28"/>
        </w:rPr>
        <w:t xml:space="preserve">—which </w:t>
      </w:r>
      <w:r w:rsidR="00547B4A" w:rsidRPr="00B31D29">
        <w:rPr>
          <w:sz w:val="28"/>
        </w:rPr>
        <w:t xml:space="preserve">allow certain items to forego disclaimers </w:t>
      </w:r>
      <w:r w:rsidR="00F17E32" w:rsidRPr="00B31D29">
        <w:rPr>
          <w:sz w:val="28"/>
        </w:rPr>
        <w:t xml:space="preserve">due to </w:t>
      </w:r>
      <w:r w:rsidR="00B94D54" w:rsidRPr="00B31D29">
        <w:rPr>
          <w:sz w:val="28"/>
        </w:rPr>
        <w:t xml:space="preserve">size limitations or </w:t>
      </w:r>
      <w:r w:rsidR="00547B4A" w:rsidRPr="00B31D29">
        <w:rPr>
          <w:sz w:val="28"/>
        </w:rPr>
        <w:t>in the interest of convenience</w:t>
      </w:r>
      <w:r w:rsidR="00384BC3" w:rsidRPr="00B31D29">
        <w:rPr>
          <w:sz w:val="28"/>
        </w:rPr>
        <w:t>—</w:t>
      </w:r>
      <w:r w:rsidRPr="00B31D29">
        <w:rPr>
          <w:sz w:val="28"/>
        </w:rPr>
        <w:t xml:space="preserve">have created loopholes that digital advertisers have </w:t>
      </w:r>
      <w:r w:rsidR="00CC5279" w:rsidRPr="00B31D29">
        <w:rPr>
          <w:sz w:val="28"/>
        </w:rPr>
        <w:t>sought to</w:t>
      </w:r>
      <w:r w:rsidR="00525AFD" w:rsidRPr="00B31D29">
        <w:rPr>
          <w:sz w:val="28"/>
        </w:rPr>
        <w:t xml:space="preserve"> take advantage of</w:t>
      </w:r>
      <w:r w:rsidR="00257EB1" w:rsidRPr="00B31D29">
        <w:rPr>
          <w:sz w:val="28"/>
        </w:rPr>
        <w:t xml:space="preserve"> </w:t>
      </w:r>
      <w:r w:rsidRPr="00B31D29">
        <w:rPr>
          <w:sz w:val="28"/>
        </w:rPr>
        <w:t xml:space="preserve">to </w:t>
      </w:r>
      <w:r w:rsidRPr="00B31D29">
        <w:rPr>
          <w:sz w:val="28"/>
        </w:rPr>
        <w:lastRenderedPageBreak/>
        <w:t xml:space="preserve">circumvent traditional disclaimer requirements. </w:t>
      </w:r>
      <w:r w:rsidR="00525AFD" w:rsidRPr="00B31D29">
        <w:rPr>
          <w:sz w:val="28"/>
        </w:rPr>
        <w:t xml:space="preserve">Pointing to these exceptions, major Internet companies including Google and Facebook have argued that their ads should </w:t>
      </w:r>
      <w:r w:rsidR="00466A4F" w:rsidRPr="00B31D29">
        <w:rPr>
          <w:sz w:val="28"/>
        </w:rPr>
        <w:t>not be obligated to have</w:t>
      </w:r>
      <w:r w:rsidR="00525AFD" w:rsidRPr="00B31D29">
        <w:rPr>
          <w:sz w:val="28"/>
        </w:rPr>
        <w:t xml:space="preserve"> disclaimer</w:t>
      </w:r>
      <w:r w:rsidR="00466A4F" w:rsidRPr="00B31D29">
        <w:rPr>
          <w:sz w:val="28"/>
        </w:rPr>
        <w:t>s</w:t>
      </w:r>
      <w:r w:rsidR="00525AFD" w:rsidRPr="00B31D29">
        <w:rPr>
          <w:sz w:val="28"/>
        </w:rPr>
        <w:t xml:space="preserve"> because of their small size. </w:t>
      </w:r>
      <w:r w:rsidRPr="00B31D29">
        <w:rPr>
          <w:sz w:val="28"/>
        </w:rPr>
        <w:t>Part IV focuses on the rise of native advertising—specifically in unconventional contexts such as mobile games—arguing that the changing landscape of political advertising and the growing influence of potentially deceptive native ads have reinvigorated the need for the FEC to close outdated loopholes that may mislead and deceive voters. As made evident by the 2016 presidential campaign, false and misleading information</w:t>
      </w:r>
      <w:r w:rsidR="00F90337" w:rsidRPr="00B31D29">
        <w:rPr>
          <w:sz w:val="28"/>
        </w:rPr>
        <w:t xml:space="preserve"> can</w:t>
      </w:r>
      <w:r w:rsidRPr="00B31D29">
        <w:rPr>
          <w:sz w:val="28"/>
        </w:rPr>
        <w:t xml:space="preserve"> proliferate online. With everyone from politicians to the news media to social media websites acknowledging the problem of “fake news,” now is a particularly salient time for the FEC to do its part to promote truthfulness and transparency online.</w:t>
      </w:r>
      <w:bookmarkStart w:id="4" w:name="_Ref374127512"/>
      <w:r w:rsidRPr="00B31D29">
        <w:rPr>
          <w:rStyle w:val="NoterefInText"/>
          <w:sz w:val="18"/>
        </w:rPr>
        <w:footnoteReference w:id="8"/>
      </w:r>
      <w:bookmarkEnd w:id="4"/>
      <w:r w:rsidRPr="00B31D29">
        <w:rPr>
          <w:sz w:val="28"/>
        </w:rPr>
        <w:t xml:space="preserve"> Lastly, Part IV proposes a solution for closing the loopholes for paid Internet ads, tracking the regulatory language adopted by several states as a guidepost. Using Snapchat as a model of how such a regulatory solution may be implemented, </w:t>
      </w:r>
      <w:r w:rsidR="005A7F8B" w:rsidRPr="00B31D29">
        <w:rPr>
          <w:sz w:val="28"/>
        </w:rPr>
        <w:t>this Note</w:t>
      </w:r>
      <w:r w:rsidRPr="00B31D29">
        <w:rPr>
          <w:sz w:val="28"/>
        </w:rPr>
        <w:t xml:space="preserve"> argues that it is possible to craft regulatory language that will protect voters without stifling innovation or technological advances.</w:t>
      </w:r>
    </w:p>
    <w:p w14:paraId="541C76EE" w14:textId="477D5444" w:rsidR="005536CD" w:rsidRPr="00B31D29" w:rsidRDefault="005536CD" w:rsidP="009B6DE4">
      <w:pPr>
        <w:pStyle w:val="SubHead1"/>
        <w:outlineLvl w:val="0"/>
        <w:rPr>
          <w:sz w:val="28"/>
        </w:rPr>
      </w:pPr>
      <w:bookmarkStart w:id="5" w:name="_Toc458088089"/>
      <w:bookmarkStart w:id="6" w:name="_Toc504798749"/>
      <w:r w:rsidRPr="00B31D29">
        <w:rPr>
          <w:sz w:val="28"/>
        </w:rPr>
        <w:t>I.</w:t>
      </w:r>
      <w:bookmarkEnd w:id="5"/>
      <w:r w:rsidRPr="00B31D29">
        <w:rPr>
          <w:sz w:val="28"/>
        </w:rPr>
        <w:t>  CAMPAIGN FINANCE DISCLOSURE</w:t>
      </w:r>
      <w:bookmarkEnd w:id="6"/>
    </w:p>
    <w:p w14:paraId="630B7003" w14:textId="4DD48939" w:rsidR="005536CD" w:rsidRPr="00B31D29" w:rsidRDefault="005536CD" w:rsidP="00637AD3">
      <w:pPr>
        <w:pStyle w:val="Document"/>
        <w:widowControl w:val="0"/>
        <w:rPr>
          <w:sz w:val="28"/>
        </w:rPr>
      </w:pPr>
      <w:r w:rsidRPr="00B31D29">
        <w:rPr>
          <w:sz w:val="28"/>
        </w:rPr>
        <w:t xml:space="preserve">The following discussion traces some of the Supreme Court’s most significant rulings in the realm of campaign finance </w:t>
      </w:r>
      <w:r w:rsidR="006E0A2C" w:rsidRPr="00B31D29">
        <w:rPr>
          <w:sz w:val="28"/>
        </w:rPr>
        <w:t xml:space="preserve">from </w:t>
      </w:r>
      <w:r w:rsidRPr="00B31D29">
        <w:rPr>
          <w:sz w:val="28"/>
        </w:rPr>
        <w:t>the past several decades</w:t>
      </w:r>
      <w:r w:rsidR="006E0A2C" w:rsidRPr="00B31D29">
        <w:rPr>
          <w:sz w:val="28"/>
        </w:rPr>
        <w:t xml:space="preserve">, </w:t>
      </w:r>
      <w:r w:rsidRPr="00B31D29">
        <w:rPr>
          <w:sz w:val="28"/>
        </w:rPr>
        <w:t>demonstrat</w:t>
      </w:r>
      <w:r w:rsidR="006E0A2C" w:rsidRPr="00B31D29">
        <w:rPr>
          <w:sz w:val="28"/>
        </w:rPr>
        <w:t xml:space="preserve">ing </w:t>
      </w:r>
      <w:r w:rsidRPr="00B31D29">
        <w:rPr>
          <w:sz w:val="28"/>
        </w:rPr>
        <w:t xml:space="preserve">that while the Court has gradually chipped away at campaign finance regulation—including striking down limits on campaign contributions and expenditures—it has continued to uphold disclosure as a less restrictive means of </w:t>
      </w:r>
      <w:r w:rsidRPr="00B31D29">
        <w:rPr>
          <w:sz w:val="28"/>
        </w:rPr>
        <w:lastRenderedPageBreak/>
        <w:t>promoting important governmental interests. Today, disclosure laws seem to be the last remaining avenue for regulating campaign finance.</w:t>
      </w:r>
      <w:bookmarkStart w:id="7" w:name="_Ref492481633"/>
      <w:r w:rsidRPr="00B31D29">
        <w:rPr>
          <w:rStyle w:val="NoterefInText"/>
          <w:sz w:val="18"/>
        </w:rPr>
        <w:footnoteReference w:id="9"/>
      </w:r>
      <w:bookmarkEnd w:id="7"/>
    </w:p>
    <w:p w14:paraId="48D4FDFA" w14:textId="652040A9" w:rsidR="005536CD" w:rsidRPr="00B31D29" w:rsidRDefault="005536CD" w:rsidP="00BA13DF">
      <w:pPr>
        <w:pStyle w:val="SubHead2"/>
        <w:outlineLvl w:val="1"/>
        <w:rPr>
          <w:sz w:val="28"/>
        </w:rPr>
      </w:pPr>
      <w:bookmarkStart w:id="8" w:name="_Toc504798750"/>
      <w:r w:rsidRPr="00B31D29">
        <w:rPr>
          <w:sz w:val="28"/>
        </w:rPr>
        <w:t>A.  </w:t>
      </w:r>
      <w:r w:rsidRPr="00B31D29">
        <w:rPr>
          <w:i/>
          <w:sz w:val="28"/>
        </w:rPr>
        <w:t>Buckley v. Valeo</w:t>
      </w:r>
      <w:r w:rsidRPr="00B31D29">
        <w:rPr>
          <w:sz w:val="28"/>
        </w:rPr>
        <w:t xml:space="preserve"> and </w:t>
      </w:r>
      <w:r w:rsidR="002766E1" w:rsidRPr="00B31D29">
        <w:rPr>
          <w:sz w:val="28"/>
        </w:rPr>
        <w:t>t</w:t>
      </w:r>
      <w:r w:rsidRPr="00B31D29">
        <w:rPr>
          <w:sz w:val="28"/>
        </w:rPr>
        <w:t>he Supreme Court’s Disclosure Framework</w:t>
      </w:r>
      <w:bookmarkEnd w:id="8"/>
    </w:p>
    <w:p w14:paraId="2E204653" w14:textId="3127020A" w:rsidR="005536CD" w:rsidRPr="00B31D29" w:rsidRDefault="005536CD" w:rsidP="00637AD3">
      <w:pPr>
        <w:pStyle w:val="Document"/>
        <w:widowControl w:val="0"/>
        <w:rPr>
          <w:sz w:val="28"/>
        </w:rPr>
      </w:pPr>
      <w:r w:rsidRPr="00B31D29">
        <w:rPr>
          <w:sz w:val="28"/>
        </w:rPr>
        <w:t>In 1971, Congress passed the Federal Election Campaign Act (</w:t>
      </w:r>
      <w:r w:rsidR="00A57E5A" w:rsidRPr="00B31D29">
        <w:rPr>
          <w:sz w:val="28"/>
        </w:rPr>
        <w:t>“</w:t>
      </w:r>
      <w:r w:rsidRPr="00B31D29">
        <w:rPr>
          <w:sz w:val="28"/>
        </w:rPr>
        <w:t>FECA</w:t>
      </w:r>
      <w:r w:rsidR="00A57E5A" w:rsidRPr="00B31D29">
        <w:rPr>
          <w:sz w:val="28"/>
        </w:rPr>
        <w:t>”</w:t>
      </w:r>
      <w:r w:rsidRPr="00B31D29">
        <w:rPr>
          <w:sz w:val="28"/>
        </w:rPr>
        <w:t>),</w:t>
      </w:r>
      <w:r w:rsidRPr="00B31D29">
        <w:rPr>
          <w:rStyle w:val="NoterefInText"/>
          <w:sz w:val="18"/>
        </w:rPr>
        <w:footnoteReference w:id="10"/>
      </w:r>
      <w:r w:rsidRPr="00B31D29">
        <w:rPr>
          <w:sz w:val="28"/>
        </w:rPr>
        <w:t xml:space="preserve"> intending to reform campaign finance, including spending and fundraising.</w:t>
      </w:r>
      <w:bookmarkStart w:id="9" w:name="_Ref492481629"/>
      <w:r w:rsidRPr="00B31D29">
        <w:rPr>
          <w:rStyle w:val="NoterefInText"/>
          <w:sz w:val="18"/>
        </w:rPr>
        <w:footnoteReference w:id="11"/>
      </w:r>
      <w:bookmarkEnd w:id="9"/>
      <w:r w:rsidRPr="00B31D29">
        <w:rPr>
          <w:sz w:val="28"/>
        </w:rPr>
        <w:t xml:space="preserve"> Congress passed even more aggressive amendments to FECA just a few years later in 1974.</w:t>
      </w:r>
      <w:r w:rsidRPr="00B31D29">
        <w:rPr>
          <w:rStyle w:val="NoterefInText"/>
          <w:sz w:val="18"/>
        </w:rPr>
        <w:footnoteReference w:id="12"/>
      </w:r>
      <w:r w:rsidRPr="00B31D29">
        <w:rPr>
          <w:sz w:val="28"/>
        </w:rPr>
        <w:t xml:space="preserve"> Together, the 1971 and 1974 FECA regulations created limits on </w:t>
      </w:r>
      <w:r w:rsidR="00210CCC" w:rsidRPr="00B31D29">
        <w:rPr>
          <w:sz w:val="28"/>
        </w:rPr>
        <w:t xml:space="preserve">both </w:t>
      </w:r>
      <w:r w:rsidRPr="00B31D29">
        <w:rPr>
          <w:sz w:val="28"/>
        </w:rPr>
        <w:t>contributions</w:t>
      </w:r>
      <w:r w:rsidR="00210CCC" w:rsidRPr="00B31D29">
        <w:rPr>
          <w:sz w:val="28"/>
        </w:rPr>
        <w:t xml:space="preserve"> and independent expenditures. Contributions are </w:t>
      </w:r>
      <w:r w:rsidR="000E14A7" w:rsidRPr="00B31D29">
        <w:rPr>
          <w:sz w:val="28"/>
        </w:rPr>
        <w:t xml:space="preserve">“anything of value” </w:t>
      </w:r>
      <w:r w:rsidR="0035671A" w:rsidRPr="00B31D29">
        <w:rPr>
          <w:sz w:val="28"/>
        </w:rPr>
        <w:t>made</w:t>
      </w:r>
      <w:r w:rsidRPr="00B31D29">
        <w:rPr>
          <w:sz w:val="28"/>
        </w:rPr>
        <w:t xml:space="preserve"> directly to candidate</w:t>
      </w:r>
      <w:r w:rsidR="00F6324D" w:rsidRPr="00B31D29">
        <w:rPr>
          <w:sz w:val="28"/>
        </w:rPr>
        <w:t>s</w:t>
      </w:r>
      <w:r w:rsidRPr="00B31D29">
        <w:rPr>
          <w:sz w:val="28"/>
        </w:rPr>
        <w:t xml:space="preserve"> for political office or to the political committee</w:t>
      </w:r>
      <w:r w:rsidR="00F6324D" w:rsidRPr="00B31D29">
        <w:rPr>
          <w:sz w:val="28"/>
        </w:rPr>
        <w:t>s</w:t>
      </w:r>
      <w:r w:rsidRPr="00B31D29">
        <w:rPr>
          <w:sz w:val="28"/>
        </w:rPr>
        <w:t xml:space="preserve"> that support them</w:t>
      </w:r>
      <w:r w:rsidRPr="00B31D29">
        <w:rPr>
          <w:rStyle w:val="NoterefInText"/>
          <w:sz w:val="18"/>
        </w:rPr>
        <w:footnoteReference w:id="13"/>
      </w:r>
      <w:r w:rsidR="00210CCC" w:rsidRPr="00B31D29">
        <w:rPr>
          <w:sz w:val="28"/>
        </w:rPr>
        <w:t xml:space="preserve"> while </w:t>
      </w:r>
      <w:r w:rsidRPr="00B31D29">
        <w:rPr>
          <w:sz w:val="28"/>
        </w:rPr>
        <w:t>independent expenditures</w:t>
      </w:r>
      <w:r w:rsidR="00210CCC" w:rsidRPr="00B31D29">
        <w:rPr>
          <w:sz w:val="28"/>
        </w:rPr>
        <w:t xml:space="preserve"> are </w:t>
      </w:r>
      <w:r w:rsidRPr="00B31D29">
        <w:rPr>
          <w:sz w:val="28"/>
        </w:rPr>
        <w:t>“expenditure</w:t>
      </w:r>
      <w:r w:rsidR="00210CCC" w:rsidRPr="00B31D29">
        <w:rPr>
          <w:sz w:val="28"/>
        </w:rPr>
        <w:t>[s]</w:t>
      </w:r>
      <w:r w:rsidRPr="00B31D29">
        <w:rPr>
          <w:sz w:val="28"/>
        </w:rPr>
        <w:t xml:space="preserve"> by a person for a communication expressly advocating the election or defeat of a clearly identified candidate that is not made in cooperation, consultation, or concert with, or at the request or suggestion of, a candidate, a candidate’s authorized committee, or their agents, or a political party committee or its agents.”</w:t>
      </w:r>
      <w:r w:rsidRPr="00B31D29">
        <w:rPr>
          <w:rStyle w:val="NoterefInText"/>
          <w:sz w:val="18"/>
        </w:rPr>
        <w:footnoteReference w:id="14"/>
      </w:r>
      <w:r w:rsidRPr="00B31D29">
        <w:rPr>
          <w:sz w:val="28"/>
        </w:rPr>
        <w:t xml:space="preserve"> In other words, independent expenditures are not coordinated with a candidate or a political party. FECA prohibited individuals from contributing more than $25,000 in a single year or more than $1,000 to any one candidate in an election campaign.</w:t>
      </w:r>
      <w:r w:rsidRPr="00B31D29">
        <w:rPr>
          <w:rStyle w:val="NoterefInText"/>
          <w:sz w:val="18"/>
        </w:rPr>
        <w:footnoteReference w:id="15"/>
      </w:r>
      <w:r w:rsidRPr="00B31D29">
        <w:rPr>
          <w:sz w:val="28"/>
        </w:rPr>
        <w:t xml:space="preserve"> FECA also prohibited </w:t>
      </w:r>
      <w:r w:rsidRPr="00B31D29">
        <w:rPr>
          <w:sz w:val="28"/>
        </w:rPr>
        <w:lastRenderedPageBreak/>
        <w:t>expenditures in excess of $1,000 per year spent “relative to a clearly identified candidate.”</w:t>
      </w:r>
      <w:r w:rsidRPr="00B31D29">
        <w:rPr>
          <w:rStyle w:val="NoterefInText"/>
          <w:sz w:val="18"/>
        </w:rPr>
        <w:footnoteReference w:id="16"/>
      </w:r>
    </w:p>
    <w:p w14:paraId="2736A436" w14:textId="4A940483" w:rsidR="005536CD" w:rsidRPr="00B31D29" w:rsidRDefault="009B6DE4" w:rsidP="00637AD3">
      <w:pPr>
        <w:pStyle w:val="Document"/>
        <w:widowControl w:val="0"/>
        <w:rPr>
          <w:sz w:val="28"/>
        </w:rPr>
      </w:pPr>
      <w:r w:rsidRPr="00B31D29">
        <w:rPr>
          <w:sz w:val="28"/>
        </w:rPr>
        <w:t xml:space="preserve">In 1976, </w:t>
      </w:r>
      <w:r w:rsidR="005536CD" w:rsidRPr="00B31D29">
        <w:rPr>
          <w:sz w:val="28"/>
        </w:rPr>
        <w:t xml:space="preserve">FECA was challenged before the Supreme Court in </w:t>
      </w:r>
      <w:r w:rsidR="005536CD" w:rsidRPr="00B31D29">
        <w:rPr>
          <w:i/>
          <w:sz w:val="28"/>
        </w:rPr>
        <w:t>Buckley v. Valeo</w:t>
      </w:r>
      <w:r w:rsidR="005536CD" w:rsidRPr="00B31D29">
        <w:rPr>
          <w:sz w:val="28"/>
        </w:rPr>
        <w:t>.</w:t>
      </w:r>
      <w:r w:rsidR="005536CD" w:rsidRPr="00B31D29">
        <w:rPr>
          <w:rStyle w:val="NoterefInText"/>
          <w:sz w:val="18"/>
        </w:rPr>
        <w:footnoteReference w:id="17"/>
      </w:r>
      <w:r w:rsidR="005536CD" w:rsidRPr="00B31D29">
        <w:rPr>
          <w:sz w:val="28"/>
        </w:rPr>
        <w:t xml:space="preserve"> In </w:t>
      </w:r>
      <w:r w:rsidR="005536CD" w:rsidRPr="00B31D29">
        <w:rPr>
          <w:i/>
          <w:sz w:val="28"/>
        </w:rPr>
        <w:t>Buckley</w:t>
      </w:r>
      <w:r w:rsidR="005536CD" w:rsidRPr="00B31D29">
        <w:rPr>
          <w:sz w:val="28"/>
        </w:rPr>
        <w:t>, the Court upheld FECA’s contribution limits to quell the potential of “</w:t>
      </w:r>
      <w:r w:rsidR="00C94332" w:rsidRPr="00B31D29">
        <w:rPr>
          <w:sz w:val="28"/>
        </w:rPr>
        <w:t>quid pro quo</w:t>
      </w:r>
      <w:r w:rsidR="005536CD" w:rsidRPr="00B31D29">
        <w:rPr>
          <w:sz w:val="28"/>
        </w:rPr>
        <w:t>” corruption as well as the appearance of corruption.</w:t>
      </w:r>
      <w:r w:rsidR="005536CD" w:rsidRPr="00B31D29">
        <w:rPr>
          <w:rStyle w:val="NoterefInText"/>
          <w:sz w:val="18"/>
        </w:rPr>
        <w:footnoteReference w:id="18"/>
      </w:r>
      <w:r w:rsidR="005536CD" w:rsidRPr="00B31D29">
        <w:rPr>
          <w:sz w:val="28"/>
        </w:rPr>
        <w:t xml:space="preserve"> The Court asserted that limits on contributions created only “marginal restriction[s] upon the contributor’s ability to engage in free communication”</w:t>
      </w:r>
      <w:r w:rsidR="005536CD" w:rsidRPr="00B31D29">
        <w:rPr>
          <w:rStyle w:val="NoterefInText"/>
          <w:sz w:val="18"/>
        </w:rPr>
        <w:footnoteReference w:id="19"/>
      </w:r>
      <w:r w:rsidR="005536CD" w:rsidRPr="00B31D29">
        <w:rPr>
          <w:sz w:val="28"/>
        </w:rPr>
        <w:t xml:space="preserve"> because, more than anything else, contributions are “symbolic” showings of support for the candidate.</w:t>
      </w:r>
      <w:r w:rsidR="005536CD" w:rsidRPr="00B31D29">
        <w:rPr>
          <w:rStyle w:val="NoterefInText"/>
          <w:sz w:val="18"/>
        </w:rPr>
        <w:footnoteReference w:id="20"/>
      </w:r>
      <w:r w:rsidR="005536CD" w:rsidRPr="00B31D29">
        <w:rPr>
          <w:sz w:val="28"/>
        </w:rPr>
        <w:t xml:space="preserve"> </w:t>
      </w:r>
      <w:r w:rsidR="0011679D" w:rsidRPr="00B31D29">
        <w:rPr>
          <w:sz w:val="28"/>
        </w:rPr>
        <w:t>L</w:t>
      </w:r>
      <w:r w:rsidR="005536CD" w:rsidRPr="00B31D29">
        <w:rPr>
          <w:sz w:val="28"/>
        </w:rPr>
        <w:t>imit</w:t>
      </w:r>
      <w:r w:rsidR="0011679D" w:rsidRPr="00B31D29">
        <w:rPr>
          <w:sz w:val="28"/>
        </w:rPr>
        <w:t>s</w:t>
      </w:r>
      <w:r w:rsidR="005536CD" w:rsidRPr="00B31D29">
        <w:rPr>
          <w:sz w:val="28"/>
        </w:rPr>
        <w:t xml:space="preserve"> on contributions would affect the size of an individual’s showing of support, but would not </w:t>
      </w:r>
      <w:r w:rsidR="00EC5EF8" w:rsidRPr="00B31D29">
        <w:rPr>
          <w:sz w:val="28"/>
        </w:rPr>
        <w:t>al</w:t>
      </w:r>
      <w:r w:rsidR="000B5A08" w:rsidRPr="00B31D29">
        <w:rPr>
          <w:sz w:val="28"/>
        </w:rPr>
        <w:t>together</w:t>
      </w:r>
      <w:r w:rsidR="005536CD" w:rsidRPr="00B31D29">
        <w:rPr>
          <w:sz w:val="28"/>
        </w:rPr>
        <w:t xml:space="preserve"> prevent an individual from expressing his or her support for a political candidate.</w:t>
      </w:r>
      <w:r w:rsidR="005536CD" w:rsidRPr="00B31D29">
        <w:rPr>
          <w:rStyle w:val="NoterefInText"/>
          <w:sz w:val="18"/>
        </w:rPr>
        <w:footnoteReference w:id="21"/>
      </w:r>
      <w:r w:rsidR="005536CD" w:rsidRPr="00B31D29">
        <w:rPr>
          <w:sz w:val="28"/>
        </w:rPr>
        <w:t xml:space="preserve"> At the same time, large political contributions </w:t>
      </w:r>
      <w:r w:rsidRPr="00B31D29">
        <w:rPr>
          <w:sz w:val="28"/>
        </w:rPr>
        <w:t xml:space="preserve">might </w:t>
      </w:r>
      <w:r w:rsidR="005536CD" w:rsidRPr="00B31D29">
        <w:rPr>
          <w:sz w:val="28"/>
        </w:rPr>
        <w:t>lead to a</w:t>
      </w:r>
      <w:r w:rsidRPr="00B31D29">
        <w:rPr>
          <w:sz w:val="28"/>
        </w:rPr>
        <w:t>n</w:t>
      </w:r>
      <w:r w:rsidR="005536CD" w:rsidRPr="00B31D29">
        <w:rPr>
          <w:sz w:val="28"/>
        </w:rPr>
        <w:t xml:space="preserve"> exchange of favors in return for political contributions, which could undermine the “integrity of our system</w:t>
      </w:r>
      <w:r w:rsidRPr="00B31D29">
        <w:rPr>
          <w:sz w:val="28"/>
        </w:rPr>
        <w:t xml:space="preserve"> of representative democracy</w:t>
      </w:r>
      <w:r w:rsidR="005536CD" w:rsidRPr="00B31D29">
        <w:rPr>
          <w:sz w:val="28"/>
        </w:rPr>
        <w:t>.</w:t>
      </w:r>
      <w:r w:rsidRPr="00B31D29">
        <w:rPr>
          <w:sz w:val="28"/>
        </w:rPr>
        <w:t>”</w:t>
      </w:r>
      <w:r w:rsidR="005536CD" w:rsidRPr="00B31D29">
        <w:rPr>
          <w:rStyle w:val="NoterefInText"/>
          <w:sz w:val="18"/>
        </w:rPr>
        <w:footnoteReference w:id="22"/>
      </w:r>
      <w:r w:rsidR="005536CD" w:rsidRPr="00B31D29">
        <w:rPr>
          <w:sz w:val="28"/>
        </w:rPr>
        <w:t xml:space="preserve"> Even if contributions </w:t>
      </w:r>
      <w:r w:rsidR="00190573" w:rsidRPr="00B31D29">
        <w:rPr>
          <w:sz w:val="28"/>
        </w:rPr>
        <w:t xml:space="preserve">do </w:t>
      </w:r>
      <w:r w:rsidR="005536CD" w:rsidRPr="00B31D29">
        <w:rPr>
          <w:sz w:val="28"/>
        </w:rPr>
        <w:t xml:space="preserve">not lead to actual corruption, the public </w:t>
      </w:r>
      <w:r w:rsidRPr="00B31D29">
        <w:rPr>
          <w:sz w:val="28"/>
        </w:rPr>
        <w:t xml:space="preserve">might </w:t>
      </w:r>
      <w:r w:rsidR="005536CD" w:rsidRPr="00B31D29">
        <w:rPr>
          <w:sz w:val="28"/>
        </w:rPr>
        <w:t xml:space="preserve">perceive corruption in a system where large individual contributions to political candidates </w:t>
      </w:r>
      <w:r w:rsidR="00190573" w:rsidRPr="00B31D29">
        <w:rPr>
          <w:sz w:val="28"/>
        </w:rPr>
        <w:t xml:space="preserve">are </w:t>
      </w:r>
      <w:r w:rsidR="005536CD" w:rsidRPr="00B31D29">
        <w:rPr>
          <w:sz w:val="28"/>
        </w:rPr>
        <w:t xml:space="preserve">permitted, which </w:t>
      </w:r>
      <w:r w:rsidRPr="00B31D29">
        <w:rPr>
          <w:sz w:val="28"/>
        </w:rPr>
        <w:t xml:space="preserve">would be </w:t>
      </w:r>
      <w:r w:rsidR="005536CD" w:rsidRPr="00B31D29">
        <w:rPr>
          <w:sz w:val="28"/>
        </w:rPr>
        <w:t>nearly as dangerous to the integrity of our representative democracy as actual corruption.</w:t>
      </w:r>
      <w:r w:rsidR="005536CD" w:rsidRPr="00B31D29">
        <w:rPr>
          <w:rStyle w:val="NoterefInText"/>
          <w:sz w:val="18"/>
        </w:rPr>
        <w:footnoteReference w:id="23"/>
      </w:r>
      <w:r w:rsidR="005536CD" w:rsidRPr="00B31D29">
        <w:rPr>
          <w:sz w:val="28"/>
        </w:rPr>
        <w:t xml:space="preserve"> Based upon these grounds, the Court deemed that a limited restriction on First Amendment rights was justified.</w:t>
      </w:r>
      <w:r w:rsidR="005536CD" w:rsidRPr="00B31D29">
        <w:rPr>
          <w:rStyle w:val="NoterefInText"/>
          <w:sz w:val="18"/>
        </w:rPr>
        <w:footnoteReference w:id="24"/>
      </w:r>
    </w:p>
    <w:p w14:paraId="0986562C" w14:textId="3548669D" w:rsidR="005536CD" w:rsidRPr="00B31D29" w:rsidRDefault="00076626" w:rsidP="00BA13DF">
      <w:pPr>
        <w:pStyle w:val="Document"/>
        <w:widowControl w:val="0"/>
        <w:ind w:firstLine="0"/>
        <w:rPr>
          <w:sz w:val="28"/>
        </w:rPr>
      </w:pPr>
      <w:r w:rsidRPr="00B31D29">
        <w:rPr>
          <w:sz w:val="28"/>
        </w:rPr>
        <w:tab/>
      </w:r>
      <w:r w:rsidR="005536CD" w:rsidRPr="00B31D29">
        <w:rPr>
          <w:sz w:val="28"/>
        </w:rPr>
        <w:t>Limits on individual and interest</w:t>
      </w:r>
      <w:r w:rsidR="009B6DE4" w:rsidRPr="00B31D29">
        <w:rPr>
          <w:sz w:val="28"/>
        </w:rPr>
        <w:t>-</w:t>
      </w:r>
      <w:r w:rsidR="005536CD" w:rsidRPr="00B31D29">
        <w:rPr>
          <w:sz w:val="28"/>
        </w:rPr>
        <w:t>group expenditures, on the other hand, were struck down.</w:t>
      </w:r>
      <w:r w:rsidR="005536CD" w:rsidRPr="00B31D29">
        <w:rPr>
          <w:rStyle w:val="NoterefInText"/>
          <w:sz w:val="18"/>
        </w:rPr>
        <w:footnoteReference w:id="25"/>
      </w:r>
      <w:r w:rsidR="005536CD" w:rsidRPr="00B31D29">
        <w:rPr>
          <w:sz w:val="28"/>
        </w:rPr>
        <w:t xml:space="preserve"> First, the Court held that the statutory language limiting expenditures “relative </w:t>
      </w:r>
      <w:r w:rsidR="005536CD" w:rsidRPr="00B31D29">
        <w:rPr>
          <w:sz w:val="28"/>
        </w:rPr>
        <w:lastRenderedPageBreak/>
        <w:t>to a clearly identified candidate” was too vague and must be more narrowly construed</w:t>
      </w:r>
      <w:r w:rsidRPr="00B31D29">
        <w:rPr>
          <w:sz w:val="28"/>
        </w:rPr>
        <w:t>,</w:t>
      </w:r>
      <w:r w:rsidR="005536CD" w:rsidRPr="00B31D29">
        <w:rPr>
          <w:sz w:val="28"/>
        </w:rPr>
        <w:t xml:space="preserve"> to apply only to spending on “communications that in express terms advocate the election or defeat of a clearly identified candidate.”</w:t>
      </w:r>
      <w:r w:rsidR="005536CD" w:rsidRPr="00B31D29">
        <w:rPr>
          <w:rStyle w:val="NoterefInText"/>
          <w:sz w:val="18"/>
        </w:rPr>
        <w:footnoteReference w:id="26"/>
      </w:r>
      <w:r w:rsidR="005536CD" w:rsidRPr="00B31D29">
        <w:rPr>
          <w:sz w:val="28"/>
        </w:rPr>
        <w:t xml:space="preserve"> But even on such narrower grounds, the Court found that </w:t>
      </w:r>
      <w:r w:rsidR="000D67D2" w:rsidRPr="00B31D29">
        <w:rPr>
          <w:sz w:val="28"/>
        </w:rPr>
        <w:t xml:space="preserve">the </w:t>
      </w:r>
      <w:r w:rsidR="005536CD" w:rsidRPr="00B31D29">
        <w:rPr>
          <w:sz w:val="28"/>
        </w:rPr>
        <w:t>limitation on expenditures could not be justified by the governmental interest of preventing actual corruption or the appearance of corruption</w:t>
      </w:r>
      <w:r w:rsidR="00C62960" w:rsidRPr="00B31D29">
        <w:rPr>
          <w:sz w:val="28"/>
        </w:rPr>
        <w:t>. B</w:t>
      </w:r>
      <w:r w:rsidR="005536CD" w:rsidRPr="00B31D29">
        <w:rPr>
          <w:sz w:val="28"/>
        </w:rPr>
        <w:t>ecause expenditures cannot be made in coordination with a candidate or campaign—</w:t>
      </w:r>
      <w:r w:rsidR="00C62960" w:rsidRPr="00B31D29">
        <w:rPr>
          <w:sz w:val="28"/>
        </w:rPr>
        <w:t xml:space="preserve">if they were, </w:t>
      </w:r>
      <w:r w:rsidR="005536CD" w:rsidRPr="00B31D29">
        <w:rPr>
          <w:sz w:val="28"/>
        </w:rPr>
        <w:t>they would be treated as contributions—</w:t>
      </w:r>
      <w:r w:rsidR="00C62960" w:rsidRPr="00B31D29">
        <w:rPr>
          <w:sz w:val="28"/>
        </w:rPr>
        <w:t>they</w:t>
      </w:r>
      <w:r w:rsidR="007511EB" w:rsidRPr="00B31D29">
        <w:rPr>
          <w:sz w:val="28"/>
        </w:rPr>
        <w:t xml:space="preserve"> </w:t>
      </w:r>
      <w:r w:rsidR="005536CD" w:rsidRPr="00B31D29">
        <w:rPr>
          <w:sz w:val="28"/>
        </w:rPr>
        <w:t xml:space="preserve">do not pose a risk of </w:t>
      </w:r>
      <w:r w:rsidR="00C94332" w:rsidRPr="00B31D29">
        <w:rPr>
          <w:sz w:val="28"/>
        </w:rPr>
        <w:t>quid pro quo</w:t>
      </w:r>
      <w:r w:rsidR="005536CD" w:rsidRPr="00B31D29">
        <w:rPr>
          <w:sz w:val="28"/>
        </w:rPr>
        <w:t xml:space="preserve"> relationships.</w:t>
      </w:r>
      <w:r w:rsidR="005536CD" w:rsidRPr="00B31D29">
        <w:rPr>
          <w:rStyle w:val="NoterefInText"/>
          <w:sz w:val="18"/>
        </w:rPr>
        <w:footnoteReference w:id="27"/>
      </w:r>
      <w:r w:rsidR="005536CD" w:rsidRPr="00B31D29">
        <w:rPr>
          <w:sz w:val="28"/>
        </w:rPr>
        <w:t xml:space="preserve"> Moreover, the Court argued that</w:t>
      </w:r>
      <w:r w:rsidR="00941768" w:rsidRPr="00B31D29">
        <w:rPr>
          <w:sz w:val="28"/>
        </w:rPr>
        <w:t xml:space="preserve"> </w:t>
      </w:r>
      <w:r w:rsidR="005536CD" w:rsidRPr="00B31D29">
        <w:rPr>
          <w:sz w:val="28"/>
        </w:rPr>
        <w:t>spending was equivalent to speech</w:t>
      </w:r>
      <w:r w:rsidR="009259E0" w:rsidRPr="00B31D29">
        <w:rPr>
          <w:sz w:val="28"/>
        </w:rPr>
        <w:t>,</w:t>
      </w:r>
      <w:r w:rsidR="005536CD" w:rsidRPr="00B31D29">
        <w:rPr>
          <w:sz w:val="28"/>
        </w:rPr>
        <w:t xml:space="preserve"> and thus restricting the ability to spend on an election was the same as cutting off one’s ability to speak, which would impermissibly violate the First Amendment while failing to promote any legitimate government interest.</w:t>
      </w:r>
      <w:r w:rsidR="005536CD" w:rsidRPr="00B31D29">
        <w:rPr>
          <w:rStyle w:val="NoterefInText"/>
          <w:sz w:val="18"/>
        </w:rPr>
        <w:footnoteReference w:id="28"/>
      </w:r>
    </w:p>
    <w:p w14:paraId="01A48E1C" w14:textId="35956416" w:rsidR="005536CD" w:rsidRPr="00B31D29" w:rsidRDefault="005536CD" w:rsidP="00637AD3">
      <w:pPr>
        <w:pStyle w:val="Document"/>
        <w:widowControl w:val="0"/>
        <w:rPr>
          <w:sz w:val="28"/>
        </w:rPr>
      </w:pPr>
      <w:r w:rsidRPr="00B31D29">
        <w:rPr>
          <w:sz w:val="28"/>
        </w:rPr>
        <w:t>Despite striking down some of FECA’s spending limitations, the court fully upheld FECA’s reporting and disclosure requirements.</w:t>
      </w:r>
      <w:r w:rsidRPr="00B31D29">
        <w:rPr>
          <w:rStyle w:val="NoterefInText"/>
          <w:sz w:val="18"/>
        </w:rPr>
        <w:footnoteReference w:id="29"/>
      </w:r>
      <w:r w:rsidRPr="00B31D29">
        <w:rPr>
          <w:sz w:val="28"/>
        </w:rPr>
        <w:t xml:space="preserve"> Under FECA, political committees had to register with the FEC and keep records of expenditures and contributions, including the names and addresses of anyone who had contributed more than $10 and the occupation and principal place of business of anyone who had contributed more than $100.</w:t>
      </w:r>
      <w:r w:rsidRPr="00B31D29">
        <w:rPr>
          <w:rStyle w:val="NoterefInText"/>
          <w:sz w:val="18"/>
        </w:rPr>
        <w:footnoteReference w:id="30"/>
      </w:r>
      <w:r w:rsidRPr="00B31D29">
        <w:rPr>
          <w:sz w:val="28"/>
        </w:rPr>
        <w:t xml:space="preserve"> Candidates and political committees were also required to submit quarterly contribution and expenditure reports,</w:t>
      </w:r>
      <w:r w:rsidR="00CD6FD7" w:rsidRPr="00B31D29">
        <w:rPr>
          <w:rStyle w:val="FootnoteReference"/>
          <w:sz w:val="28"/>
        </w:rPr>
        <w:footnoteReference w:id="31"/>
      </w:r>
      <w:r w:rsidRPr="00B31D29">
        <w:rPr>
          <w:sz w:val="28"/>
        </w:rPr>
        <w:t xml:space="preserve"> which would be available </w:t>
      </w:r>
      <w:r w:rsidR="007511EB" w:rsidRPr="00B31D29">
        <w:rPr>
          <w:sz w:val="28"/>
        </w:rPr>
        <w:t>“</w:t>
      </w:r>
      <w:r w:rsidRPr="00B31D29">
        <w:rPr>
          <w:sz w:val="28"/>
        </w:rPr>
        <w:t>for public inspection and copying.”</w:t>
      </w:r>
      <w:r w:rsidRPr="00B31D29">
        <w:rPr>
          <w:rStyle w:val="NoterefInText"/>
          <w:sz w:val="18"/>
        </w:rPr>
        <w:footnoteReference w:id="32"/>
      </w:r>
      <w:r w:rsidRPr="00B31D29">
        <w:rPr>
          <w:sz w:val="28"/>
        </w:rPr>
        <w:t xml:space="preserve"> Additionally, any individual or group that made a contribution or expenditure of more than $100 in one year—excluding contributions to candidates or political committees—was required to file a statement with the </w:t>
      </w:r>
      <w:r w:rsidRPr="00B31D29">
        <w:rPr>
          <w:sz w:val="28"/>
        </w:rPr>
        <w:lastRenderedPageBreak/>
        <w:t>FEC.</w:t>
      </w:r>
      <w:r w:rsidRPr="00B31D29">
        <w:rPr>
          <w:rStyle w:val="NoterefInText"/>
          <w:sz w:val="18"/>
        </w:rPr>
        <w:footnoteReference w:id="33"/>
      </w:r>
    </w:p>
    <w:p w14:paraId="20EC7D86" w14:textId="2E313C6A" w:rsidR="005536CD" w:rsidRPr="00B31D29" w:rsidRDefault="005536CD" w:rsidP="00637AD3">
      <w:pPr>
        <w:pStyle w:val="Document"/>
        <w:widowControl w:val="0"/>
        <w:rPr>
          <w:sz w:val="28"/>
        </w:rPr>
      </w:pPr>
      <w:r w:rsidRPr="00B31D29">
        <w:rPr>
          <w:sz w:val="28"/>
        </w:rPr>
        <w:t>The Court recognized that although mandatory disclosure has the potential to substantially encroach on First Amendment rights, it may be justified by a compelling government interest.</w:t>
      </w:r>
      <w:r w:rsidRPr="00B31D29">
        <w:rPr>
          <w:rStyle w:val="NoterefInText"/>
          <w:sz w:val="18"/>
        </w:rPr>
        <w:footnoteReference w:id="34"/>
      </w:r>
      <w:r w:rsidRPr="00B31D29">
        <w:rPr>
          <w:sz w:val="28"/>
        </w:rPr>
        <w:t xml:space="preserve"> However, any </w:t>
      </w:r>
      <w:r w:rsidR="00BE574E" w:rsidRPr="00B31D29">
        <w:rPr>
          <w:sz w:val="28"/>
        </w:rPr>
        <w:t xml:space="preserve">such </w:t>
      </w:r>
      <w:r w:rsidRPr="00B31D29">
        <w:rPr>
          <w:sz w:val="28"/>
        </w:rPr>
        <w:t>justification for compelled disclosure must survive “exacting scrutiny.”</w:t>
      </w:r>
      <w:r w:rsidRPr="00B31D29">
        <w:rPr>
          <w:rStyle w:val="NoterefInText"/>
          <w:sz w:val="18"/>
        </w:rPr>
        <w:footnoteReference w:id="35"/>
      </w:r>
      <w:r w:rsidRPr="00B31D29">
        <w:rPr>
          <w:sz w:val="28"/>
        </w:rPr>
        <w:t xml:space="preserve"> The government interest must also have a “substantial relation” to the information that is to be disclosed.</w:t>
      </w:r>
      <w:r w:rsidRPr="00B31D29">
        <w:rPr>
          <w:rStyle w:val="NoterefInText"/>
          <w:sz w:val="18"/>
        </w:rPr>
        <w:footnoteReference w:id="36"/>
      </w:r>
      <w:r w:rsidRPr="00B31D29">
        <w:rPr>
          <w:sz w:val="28"/>
        </w:rPr>
        <w:t xml:space="preserve"> The Court identified three governmental interests that are “sufficiently important to outweigh the possibility of infringement.”</w:t>
      </w:r>
      <w:r w:rsidRPr="00B31D29">
        <w:rPr>
          <w:rStyle w:val="NoterefInText"/>
          <w:sz w:val="18"/>
        </w:rPr>
        <w:footnoteReference w:id="37"/>
      </w:r>
      <w:r w:rsidRPr="00B31D29">
        <w:rPr>
          <w:sz w:val="28"/>
        </w:rPr>
        <w:t xml:space="preserve"> The first interest is the information that disclosure provides to voters.</w:t>
      </w:r>
      <w:r w:rsidRPr="00B31D29">
        <w:rPr>
          <w:rStyle w:val="NoterefInText"/>
          <w:sz w:val="18"/>
        </w:rPr>
        <w:footnoteReference w:id="38"/>
      </w:r>
      <w:r w:rsidRPr="00B31D29">
        <w:rPr>
          <w:sz w:val="28"/>
        </w:rPr>
        <w:t xml:space="preserve"> The Court stated that the source of campaign money and how </w:t>
      </w:r>
      <w:r w:rsidR="00012025" w:rsidRPr="00B31D29">
        <w:rPr>
          <w:sz w:val="28"/>
        </w:rPr>
        <w:t>candidates spend it</w:t>
      </w:r>
      <w:r w:rsidRPr="00B31D29">
        <w:rPr>
          <w:sz w:val="28"/>
        </w:rPr>
        <w:t xml:space="preserve"> allow</w:t>
      </w:r>
      <w:r w:rsidR="002F2962" w:rsidRPr="00B31D29">
        <w:rPr>
          <w:sz w:val="28"/>
        </w:rPr>
        <w:t>s</w:t>
      </w:r>
      <w:r w:rsidRPr="00B31D29">
        <w:rPr>
          <w:sz w:val="28"/>
        </w:rPr>
        <w:t xml:space="preserve"> voters to “place each candidate in the political spectrum” more accurately than using only party labels or speeches.</w:t>
      </w:r>
      <w:r w:rsidRPr="00B31D29">
        <w:rPr>
          <w:rStyle w:val="NoterefInText"/>
          <w:sz w:val="18"/>
        </w:rPr>
        <w:footnoteReference w:id="39"/>
      </w:r>
      <w:r w:rsidRPr="00B31D29">
        <w:rPr>
          <w:sz w:val="28"/>
        </w:rPr>
        <w:t xml:space="preserve"> Disclosure may also help voters identify any potential interests the candidate might hold.</w:t>
      </w:r>
      <w:r w:rsidRPr="00B31D29">
        <w:rPr>
          <w:rStyle w:val="NoterefInText"/>
          <w:sz w:val="18"/>
        </w:rPr>
        <w:footnoteReference w:id="40"/>
      </w:r>
      <w:r w:rsidRPr="00B31D29">
        <w:rPr>
          <w:sz w:val="28"/>
        </w:rPr>
        <w:t xml:space="preserve"> Second, by exposing a candidate’s source of money, disclosure helps deter corruption and the “appearance of corruption.”</w:t>
      </w:r>
      <w:r w:rsidRPr="00B31D29">
        <w:rPr>
          <w:rStyle w:val="NoterefInText"/>
          <w:sz w:val="18"/>
        </w:rPr>
        <w:footnoteReference w:id="41"/>
      </w:r>
      <w:r w:rsidRPr="00B31D29">
        <w:rPr>
          <w:sz w:val="28"/>
        </w:rPr>
        <w:t xml:space="preserve"> Candidates might be less inclined to grant special favors to their major donors if voters have access to donor information and may spot a </w:t>
      </w:r>
      <w:r w:rsidR="00C94332" w:rsidRPr="00B31D29">
        <w:rPr>
          <w:sz w:val="28"/>
        </w:rPr>
        <w:t>quid pro quo</w:t>
      </w:r>
      <w:r w:rsidRPr="00B31D29">
        <w:rPr>
          <w:sz w:val="28"/>
        </w:rPr>
        <w:t xml:space="preserve"> relationship.</w:t>
      </w:r>
      <w:r w:rsidRPr="00B31D29">
        <w:rPr>
          <w:rStyle w:val="NoterefInText"/>
          <w:sz w:val="18"/>
        </w:rPr>
        <w:footnoteReference w:id="42"/>
      </w:r>
      <w:r w:rsidRPr="00B31D29">
        <w:rPr>
          <w:sz w:val="28"/>
        </w:rPr>
        <w:t xml:space="preserve"> Third, disclosure helps with enforcement of campaign finance laws by exposing any potential violations of contribution limits</w:t>
      </w:r>
      <w:r w:rsidR="00225663" w:rsidRPr="00B31D29">
        <w:rPr>
          <w:sz w:val="28"/>
        </w:rPr>
        <w:t>,</w:t>
      </w:r>
      <w:r w:rsidRPr="00B31D29">
        <w:rPr>
          <w:sz w:val="28"/>
        </w:rPr>
        <w:t xml:space="preserve"> since contributions can be tracked and monitored through reported documents.</w:t>
      </w:r>
      <w:r w:rsidRPr="00B31D29">
        <w:rPr>
          <w:rStyle w:val="NoterefInText"/>
          <w:sz w:val="18"/>
        </w:rPr>
        <w:footnoteReference w:id="43"/>
      </w:r>
    </w:p>
    <w:p w14:paraId="2B983DBF" w14:textId="314CF560" w:rsidR="005536CD" w:rsidRPr="00B31D29" w:rsidRDefault="005536CD" w:rsidP="00637AD3">
      <w:pPr>
        <w:pStyle w:val="Document"/>
        <w:widowControl w:val="0"/>
        <w:rPr>
          <w:sz w:val="28"/>
        </w:rPr>
      </w:pPr>
      <w:r w:rsidRPr="00B31D29">
        <w:rPr>
          <w:sz w:val="28"/>
        </w:rPr>
        <w:t xml:space="preserve">Although </w:t>
      </w:r>
      <w:r w:rsidR="00BE574E" w:rsidRPr="00B31D29">
        <w:rPr>
          <w:sz w:val="28"/>
        </w:rPr>
        <w:t xml:space="preserve">it upheld </w:t>
      </w:r>
      <w:r w:rsidRPr="00B31D29">
        <w:rPr>
          <w:sz w:val="28"/>
        </w:rPr>
        <w:t>compelled disclosure requirements, the Court acknowledged that disclosure can pose some threats.</w:t>
      </w:r>
      <w:r w:rsidRPr="00B31D29">
        <w:rPr>
          <w:rStyle w:val="NoterefInText"/>
          <w:sz w:val="18"/>
        </w:rPr>
        <w:footnoteReference w:id="44"/>
      </w:r>
      <w:r w:rsidRPr="00B31D29">
        <w:rPr>
          <w:sz w:val="28"/>
        </w:rPr>
        <w:t xml:space="preserve"> In particular, disclosure may have a chilling </w:t>
      </w:r>
      <w:r w:rsidRPr="00B31D29">
        <w:rPr>
          <w:sz w:val="28"/>
        </w:rPr>
        <w:lastRenderedPageBreak/>
        <w:t xml:space="preserve">effect on some people who would have contributed money absent </w:t>
      </w:r>
      <w:r w:rsidR="00BE574E" w:rsidRPr="00B31D29">
        <w:rPr>
          <w:sz w:val="28"/>
        </w:rPr>
        <w:t xml:space="preserve">the </w:t>
      </w:r>
      <w:r w:rsidRPr="00B31D29">
        <w:rPr>
          <w:sz w:val="28"/>
        </w:rPr>
        <w:t>requirements.</w:t>
      </w:r>
      <w:r w:rsidRPr="00B31D29">
        <w:rPr>
          <w:rStyle w:val="NoterefInText"/>
          <w:sz w:val="18"/>
        </w:rPr>
        <w:footnoteReference w:id="45"/>
      </w:r>
      <w:r w:rsidRPr="00B31D29">
        <w:rPr>
          <w:sz w:val="28"/>
        </w:rPr>
        <w:t xml:space="preserve"> Disclosure may also pose risks of harassment and retaliation against contributors.</w:t>
      </w:r>
      <w:r w:rsidRPr="00B31D29">
        <w:rPr>
          <w:rStyle w:val="NoterefInText"/>
          <w:sz w:val="18"/>
        </w:rPr>
        <w:footnoteReference w:id="46"/>
      </w:r>
      <w:r w:rsidRPr="00B31D29">
        <w:rPr>
          <w:sz w:val="28"/>
        </w:rPr>
        <w:t xml:space="preserve"> On the basis of these concerns, some parties may be eligible for an exception from disclosure requirements if they can show a “reasonable probability” of </w:t>
      </w:r>
      <w:r w:rsidR="00BE574E" w:rsidRPr="00B31D29">
        <w:rPr>
          <w:sz w:val="28"/>
        </w:rPr>
        <w:t>“</w:t>
      </w:r>
      <w:r w:rsidRPr="00B31D29">
        <w:rPr>
          <w:sz w:val="28"/>
        </w:rPr>
        <w:t>threats</w:t>
      </w:r>
      <w:r w:rsidR="00BE574E" w:rsidRPr="00B31D29">
        <w:rPr>
          <w:sz w:val="28"/>
        </w:rPr>
        <w:t xml:space="preserve">, </w:t>
      </w:r>
      <w:r w:rsidRPr="00B31D29">
        <w:rPr>
          <w:sz w:val="28"/>
        </w:rPr>
        <w:t>harassment</w:t>
      </w:r>
      <w:r w:rsidR="00BE574E" w:rsidRPr="00B31D29">
        <w:rPr>
          <w:sz w:val="28"/>
        </w:rPr>
        <w:t>, or reprisals</w:t>
      </w:r>
      <w:r w:rsidRPr="00B31D29">
        <w:rPr>
          <w:sz w:val="28"/>
        </w:rPr>
        <w:t>.</w:t>
      </w:r>
      <w:r w:rsidR="00BE574E" w:rsidRPr="00B31D29">
        <w:rPr>
          <w:sz w:val="28"/>
        </w:rPr>
        <w:t>”</w:t>
      </w:r>
      <w:r w:rsidRPr="00B31D29">
        <w:rPr>
          <w:rStyle w:val="NoterefInText"/>
          <w:sz w:val="18"/>
        </w:rPr>
        <w:footnoteReference w:id="47"/>
      </w:r>
      <w:r w:rsidRPr="00B31D29">
        <w:rPr>
          <w:sz w:val="28"/>
        </w:rPr>
        <w:t xml:space="preserve"> But despite these potential chilling effects, the Court, nevertheless, concluded that disclosure requirements “</w:t>
      </w:r>
      <w:r w:rsidR="00110704" w:rsidRPr="00B31D29">
        <w:rPr>
          <w:sz w:val="28"/>
        </w:rPr>
        <w:t xml:space="preserve">appear to be </w:t>
      </w:r>
      <w:r w:rsidRPr="00B31D29">
        <w:rPr>
          <w:sz w:val="28"/>
        </w:rPr>
        <w:t>the least restrictive means of curbing the evils of campaign ignorance and corruption that Congress found to exist.”</w:t>
      </w:r>
      <w:r w:rsidRPr="00B31D29">
        <w:rPr>
          <w:rStyle w:val="NoterefInText"/>
          <w:sz w:val="18"/>
        </w:rPr>
        <w:footnoteReference w:id="48"/>
      </w:r>
    </w:p>
    <w:p w14:paraId="0A8592FB" w14:textId="3D192C9E" w:rsidR="005536CD" w:rsidRPr="00B31D29" w:rsidRDefault="005536CD" w:rsidP="00BA13DF">
      <w:pPr>
        <w:pStyle w:val="SubHead2"/>
        <w:outlineLvl w:val="1"/>
        <w:rPr>
          <w:sz w:val="28"/>
        </w:rPr>
      </w:pPr>
      <w:bookmarkStart w:id="10" w:name="_Toc504798751"/>
      <w:r w:rsidRPr="00B31D29">
        <w:rPr>
          <w:sz w:val="28"/>
        </w:rPr>
        <w:t xml:space="preserve">B.  The Bipartisan Campaign Reform Act </w:t>
      </w:r>
      <w:r w:rsidR="00F85899" w:rsidRPr="00B31D29">
        <w:rPr>
          <w:sz w:val="28"/>
        </w:rPr>
        <w:t xml:space="preserve">of 2002 </w:t>
      </w:r>
      <w:r w:rsidRPr="00B31D29">
        <w:rPr>
          <w:sz w:val="28"/>
        </w:rPr>
        <w:t>and Disclosure Post</w:t>
      </w:r>
      <w:r w:rsidR="00967771" w:rsidRPr="00B31D29">
        <w:rPr>
          <w:sz w:val="28"/>
        </w:rPr>
        <w:t>-</w:t>
      </w:r>
      <w:r w:rsidRPr="00B31D29">
        <w:rPr>
          <w:i/>
          <w:sz w:val="28"/>
        </w:rPr>
        <w:t>Buckley</w:t>
      </w:r>
      <w:bookmarkEnd w:id="10"/>
    </w:p>
    <w:p w14:paraId="4164670F" w14:textId="6A195E3E" w:rsidR="005536CD" w:rsidRPr="00B31D29" w:rsidRDefault="005536CD" w:rsidP="00637AD3">
      <w:pPr>
        <w:pStyle w:val="Document"/>
        <w:widowControl w:val="0"/>
        <w:rPr>
          <w:sz w:val="28"/>
        </w:rPr>
      </w:pPr>
      <w:r w:rsidRPr="00B31D29">
        <w:rPr>
          <w:sz w:val="28"/>
        </w:rPr>
        <w:t>Congress made another attempt to reform campaign finance laws in 2002 with the Bipartisan Campaign Reform Act (</w:t>
      </w:r>
      <w:r w:rsidR="00A57E5A" w:rsidRPr="00B31D29">
        <w:rPr>
          <w:sz w:val="28"/>
        </w:rPr>
        <w:t>“</w:t>
      </w:r>
      <w:r w:rsidRPr="00B31D29">
        <w:rPr>
          <w:sz w:val="28"/>
        </w:rPr>
        <w:t>BCRA</w:t>
      </w:r>
      <w:r w:rsidR="00A57E5A" w:rsidRPr="00B31D29">
        <w:rPr>
          <w:sz w:val="28"/>
        </w:rPr>
        <w:t>”</w:t>
      </w:r>
      <w:r w:rsidRPr="00B31D29">
        <w:rPr>
          <w:sz w:val="28"/>
        </w:rPr>
        <w:t xml:space="preserve">) (also known as the McCain-Feingold </w:t>
      </w:r>
      <w:r w:rsidR="0008303E" w:rsidRPr="00B31D29">
        <w:rPr>
          <w:sz w:val="28"/>
        </w:rPr>
        <w:t>Act</w:t>
      </w:r>
      <w:r w:rsidRPr="00B31D29">
        <w:rPr>
          <w:sz w:val="28"/>
        </w:rPr>
        <w:t>), which prohibited political parties from using funds raised outside of the limits of campaign finance laws, otherwise known as “soft money.”</w:t>
      </w:r>
      <w:r w:rsidRPr="00B31D29">
        <w:rPr>
          <w:rStyle w:val="NoterefInText"/>
          <w:sz w:val="18"/>
        </w:rPr>
        <w:footnoteReference w:id="49"/>
      </w:r>
      <w:r w:rsidRPr="00B31D29">
        <w:rPr>
          <w:sz w:val="28"/>
        </w:rPr>
        <w:t xml:space="preserve"> BCRA also attempted to regulate “sham issue ads.”</w:t>
      </w:r>
      <w:bookmarkStart w:id="11" w:name="_Ref492481631"/>
      <w:r w:rsidRPr="00B31D29">
        <w:rPr>
          <w:rStyle w:val="NoterefInText"/>
          <w:sz w:val="18"/>
        </w:rPr>
        <w:footnoteReference w:id="50"/>
      </w:r>
      <w:bookmarkEnd w:id="11"/>
      <w:r w:rsidRPr="00B31D29">
        <w:rPr>
          <w:sz w:val="28"/>
        </w:rPr>
        <w:t xml:space="preserve"> An ad paid for by a party or an interest group that advocated for the election of a particular candidate by including “magic words” such as “vote for,” “elect,” “support,” and similar expressions was considered </w:t>
      </w:r>
      <w:r w:rsidRPr="00B31D29">
        <w:rPr>
          <w:sz w:val="28"/>
        </w:rPr>
        <w:lastRenderedPageBreak/>
        <w:t>express advocacy and had to comply with strict regulation requirements.</w:t>
      </w:r>
      <w:r w:rsidRPr="00B31D29">
        <w:rPr>
          <w:rStyle w:val="NoterefInText"/>
          <w:sz w:val="18"/>
        </w:rPr>
        <w:footnoteReference w:id="51"/>
      </w:r>
      <w:r w:rsidRPr="00B31D29">
        <w:rPr>
          <w:sz w:val="28"/>
        </w:rPr>
        <w:t xml:space="preserve"> Ads that did not contain these magic words were called issue ads and could be paid for with soft money.</w:t>
      </w:r>
      <w:r w:rsidRPr="00B31D29">
        <w:rPr>
          <w:rStyle w:val="NoterefInText"/>
          <w:sz w:val="18"/>
        </w:rPr>
        <w:footnoteReference w:id="52"/>
      </w:r>
      <w:r w:rsidRPr="00B31D29">
        <w:rPr>
          <w:sz w:val="28"/>
        </w:rPr>
        <w:t xml:space="preserve"> This loophole led to the rise of sham issue ads, which presumed to promote broad party values and did not have to disclose their source of funding, even if they featured a candidate, as long as the magic words were not used.</w:t>
      </w:r>
      <w:r w:rsidRPr="00B31D29">
        <w:rPr>
          <w:rStyle w:val="NoterefInText"/>
          <w:sz w:val="18"/>
        </w:rPr>
        <w:footnoteReference w:id="53"/>
      </w:r>
    </w:p>
    <w:p w14:paraId="43D291AA" w14:textId="5253ED53" w:rsidR="005536CD" w:rsidRPr="00B31D29" w:rsidRDefault="005536CD" w:rsidP="00637AD3">
      <w:pPr>
        <w:pStyle w:val="Document"/>
        <w:widowControl w:val="0"/>
        <w:rPr>
          <w:sz w:val="28"/>
        </w:rPr>
      </w:pPr>
      <w:r w:rsidRPr="00B31D29">
        <w:rPr>
          <w:sz w:val="28"/>
        </w:rPr>
        <w:t xml:space="preserve">BCRA tackled the issue of sham </w:t>
      </w:r>
      <w:r w:rsidR="00694DF5" w:rsidRPr="00B31D29">
        <w:rPr>
          <w:sz w:val="28"/>
        </w:rPr>
        <w:t xml:space="preserve">issue </w:t>
      </w:r>
      <w:r w:rsidRPr="00B31D29">
        <w:rPr>
          <w:sz w:val="28"/>
        </w:rPr>
        <w:t>ads by establishing regulations for “electioneering communications.”</w:t>
      </w:r>
      <w:r w:rsidRPr="00B31D29">
        <w:rPr>
          <w:rStyle w:val="NoterefInText"/>
          <w:sz w:val="18"/>
        </w:rPr>
        <w:footnoteReference w:id="54"/>
      </w:r>
      <w:r w:rsidRPr="00B31D29">
        <w:rPr>
          <w:sz w:val="28"/>
        </w:rPr>
        <w:t xml:space="preserve"> An electioneering communication is “any broadcast, cable</w:t>
      </w:r>
      <w:r w:rsidR="0061729A" w:rsidRPr="00B31D29">
        <w:rPr>
          <w:sz w:val="28"/>
        </w:rPr>
        <w:t>,</w:t>
      </w:r>
      <w:r w:rsidRPr="00B31D29">
        <w:rPr>
          <w:sz w:val="28"/>
        </w:rPr>
        <w:t xml:space="preserve"> or satellite communication which</w:t>
      </w:r>
      <w:r w:rsidR="0061729A" w:rsidRPr="00B31D29">
        <w:rPr>
          <w:sz w:val="28"/>
        </w:rPr>
        <w:t xml:space="preserve"> . . .</w:t>
      </w:r>
      <w:r w:rsidRPr="00B31D29">
        <w:rPr>
          <w:sz w:val="28"/>
        </w:rPr>
        <w:t xml:space="preserve"> refers to a clearly identified candidate for Federal office” and is made within thirty days of a primary or sixty days of a general election.</w:t>
      </w:r>
      <w:r w:rsidRPr="00B31D29">
        <w:rPr>
          <w:rStyle w:val="NoterefInText"/>
          <w:sz w:val="18"/>
        </w:rPr>
        <w:footnoteReference w:id="55"/>
      </w:r>
      <w:r w:rsidRPr="00B31D29">
        <w:rPr>
          <w:sz w:val="28"/>
        </w:rPr>
        <w:t xml:space="preserve"> Unless the communication refers to a presidential or vice presidential candidate, it must also be “targeted </w:t>
      </w:r>
      <w:r w:rsidR="000D222F" w:rsidRPr="00B31D29">
        <w:rPr>
          <w:sz w:val="28"/>
        </w:rPr>
        <w:t xml:space="preserve">to </w:t>
      </w:r>
      <w:r w:rsidRPr="00B31D29">
        <w:rPr>
          <w:sz w:val="28"/>
        </w:rPr>
        <w:t xml:space="preserve">the relevant electorate,” meaning that the communication can reach </w:t>
      </w:r>
      <w:r w:rsidR="00726E65" w:rsidRPr="00B31D29">
        <w:rPr>
          <w:sz w:val="28"/>
        </w:rPr>
        <w:t>fifty thousand</w:t>
      </w:r>
      <w:r w:rsidRPr="00B31D29">
        <w:rPr>
          <w:sz w:val="28"/>
        </w:rPr>
        <w:t xml:space="preserve"> or more people.</w:t>
      </w:r>
      <w:r w:rsidRPr="00B31D29">
        <w:rPr>
          <w:rStyle w:val="NoterefInText"/>
          <w:sz w:val="18"/>
        </w:rPr>
        <w:footnoteReference w:id="56"/>
      </w:r>
      <w:r w:rsidRPr="00B31D29">
        <w:rPr>
          <w:sz w:val="28"/>
        </w:rPr>
        <w:t xml:space="preserve"> Under BCRA, electioneering communications had to disclose their donors, include a disclaimer identifying who supported the ad, and could not be paid for with funds from the general treasury of corporations or unions.</w:t>
      </w:r>
      <w:r w:rsidRPr="00B31D29">
        <w:rPr>
          <w:rStyle w:val="NoterefInText"/>
          <w:sz w:val="18"/>
        </w:rPr>
        <w:footnoteReference w:id="57"/>
      </w:r>
    </w:p>
    <w:p w14:paraId="002AF570" w14:textId="7140DB71" w:rsidR="005536CD" w:rsidRPr="00B31D29" w:rsidRDefault="005536CD" w:rsidP="00637AD3">
      <w:pPr>
        <w:pStyle w:val="Document"/>
        <w:widowControl w:val="0"/>
        <w:rPr>
          <w:sz w:val="28"/>
        </w:rPr>
      </w:pPr>
      <w:r w:rsidRPr="00B31D29">
        <w:rPr>
          <w:sz w:val="28"/>
        </w:rPr>
        <w:t xml:space="preserve">BCRA was immediately controversial and was quickly challenged, eventually ending up in the Supreme Court in </w:t>
      </w:r>
      <w:r w:rsidRPr="00B31D29">
        <w:rPr>
          <w:i/>
          <w:sz w:val="28"/>
        </w:rPr>
        <w:t>McConnell v. FEC</w:t>
      </w:r>
      <w:r w:rsidRPr="00B31D29">
        <w:rPr>
          <w:sz w:val="28"/>
        </w:rPr>
        <w:t>.</w:t>
      </w:r>
      <w:r w:rsidRPr="00B31D29">
        <w:rPr>
          <w:rStyle w:val="NoterefInText"/>
          <w:sz w:val="18"/>
        </w:rPr>
        <w:footnoteReference w:id="58"/>
      </w:r>
      <w:r w:rsidRPr="00B31D29">
        <w:rPr>
          <w:sz w:val="28"/>
        </w:rPr>
        <w:t xml:space="preserve"> In </w:t>
      </w:r>
      <w:r w:rsidRPr="00B31D29">
        <w:rPr>
          <w:i/>
          <w:sz w:val="28"/>
        </w:rPr>
        <w:t>McConnell</w:t>
      </w:r>
      <w:r w:rsidRPr="00B31D29">
        <w:rPr>
          <w:sz w:val="28"/>
        </w:rPr>
        <w:t xml:space="preserve">, the Court narrowly </w:t>
      </w:r>
      <w:r w:rsidRPr="00B31D29">
        <w:rPr>
          <w:sz w:val="28"/>
        </w:rPr>
        <w:lastRenderedPageBreak/>
        <w:t>upheld BCRA’s prohibition against corporate funding of electioneering communications.</w:t>
      </w:r>
      <w:r w:rsidRPr="00B31D29">
        <w:rPr>
          <w:rStyle w:val="NoterefInText"/>
          <w:sz w:val="18"/>
        </w:rPr>
        <w:footnoteReference w:id="59"/>
      </w:r>
      <w:r w:rsidRPr="00B31D29">
        <w:rPr>
          <w:sz w:val="28"/>
        </w:rPr>
        <w:t xml:space="preserve"> However, the Court left open the possibility that the ban on corporate spending could be subject to as-applied challenges.</w:t>
      </w:r>
      <w:r w:rsidRPr="00B31D29">
        <w:rPr>
          <w:rStyle w:val="NoterefInText"/>
          <w:sz w:val="18"/>
        </w:rPr>
        <w:footnoteReference w:id="60"/>
      </w:r>
      <w:r w:rsidRPr="00B31D29">
        <w:rPr>
          <w:sz w:val="28"/>
        </w:rPr>
        <w:t xml:space="preserve"> The Court was more enthusiastic </w:t>
      </w:r>
      <w:r w:rsidR="008F4BBC" w:rsidRPr="00B31D29">
        <w:rPr>
          <w:sz w:val="28"/>
        </w:rPr>
        <w:t>about</w:t>
      </w:r>
      <w:r w:rsidRPr="00B31D29">
        <w:rPr>
          <w:sz w:val="28"/>
        </w:rPr>
        <w:t xml:space="preserve"> BCRA’s disclosure requirements, upholding its provision that individuals or entities spending more than $10,000 on electioneering communications be disclosed to the FEC, identifying the names and addresses of anyone who contributed more than $1,000 to the communication.</w:t>
      </w:r>
      <w:r w:rsidRPr="00B31D29">
        <w:rPr>
          <w:rStyle w:val="NoterefInText"/>
          <w:sz w:val="18"/>
        </w:rPr>
        <w:footnoteReference w:id="61"/>
      </w:r>
      <w:r w:rsidRPr="00B31D29">
        <w:rPr>
          <w:sz w:val="28"/>
        </w:rPr>
        <w:t xml:space="preserve"> The Court reaffirmed its reasoning from </w:t>
      </w:r>
      <w:r w:rsidRPr="00B31D29">
        <w:rPr>
          <w:i/>
          <w:sz w:val="28"/>
        </w:rPr>
        <w:t>Buckley</w:t>
      </w:r>
      <w:r w:rsidRPr="00B31D29">
        <w:rPr>
          <w:sz w:val="28"/>
        </w:rPr>
        <w:t xml:space="preserve"> that disclosure supported important government interests.</w:t>
      </w:r>
      <w:r w:rsidRPr="00B31D29">
        <w:rPr>
          <w:rStyle w:val="NoterefInText"/>
          <w:sz w:val="18"/>
        </w:rPr>
        <w:footnoteReference w:id="62"/>
      </w:r>
      <w:r w:rsidRPr="00B31D29">
        <w:rPr>
          <w:sz w:val="28"/>
        </w:rPr>
        <w:t xml:space="preserve"> The court held that “the important state interests that prompted the</w:t>
      </w:r>
      <w:r w:rsidR="00630DC7" w:rsidRPr="00B31D29">
        <w:rPr>
          <w:sz w:val="28"/>
        </w:rPr>
        <w:t xml:space="preserve"> </w:t>
      </w:r>
      <w:r w:rsidRPr="00B31D29">
        <w:rPr>
          <w:i/>
          <w:iCs/>
          <w:sz w:val="28"/>
        </w:rPr>
        <w:t>Buckley</w:t>
      </w:r>
      <w:r w:rsidR="00630DC7" w:rsidRPr="00B31D29">
        <w:rPr>
          <w:sz w:val="28"/>
        </w:rPr>
        <w:t xml:space="preserve"> </w:t>
      </w:r>
      <w:r w:rsidRPr="00B31D29">
        <w:rPr>
          <w:sz w:val="28"/>
        </w:rPr>
        <w:t>Court to uphold FECA’s disclosure requirements—providing the electorate with information, deterring actual corruption and avoiding any appearance thereof, and gathering the data necessary to enforce more substantive electioneering restrictions—apply in full to BCRA.”</w:t>
      </w:r>
      <w:r w:rsidRPr="00B31D29">
        <w:rPr>
          <w:rStyle w:val="NoterefInText"/>
          <w:sz w:val="18"/>
        </w:rPr>
        <w:footnoteReference w:id="63"/>
      </w:r>
      <w:r w:rsidRPr="00B31D29">
        <w:rPr>
          <w:sz w:val="28"/>
        </w:rPr>
        <w:t xml:space="preserve"> </w:t>
      </w:r>
      <w:r w:rsidR="0058102A" w:rsidRPr="00B31D29">
        <w:rPr>
          <w:sz w:val="28"/>
        </w:rPr>
        <w:t xml:space="preserve">In </w:t>
      </w:r>
      <w:r w:rsidRPr="00B31D29">
        <w:rPr>
          <w:sz w:val="28"/>
        </w:rPr>
        <w:t>2007</w:t>
      </w:r>
      <w:r w:rsidR="0058102A" w:rsidRPr="00B31D29">
        <w:rPr>
          <w:sz w:val="28"/>
        </w:rPr>
        <w:t>, however,</w:t>
      </w:r>
      <w:r w:rsidRPr="00B31D29">
        <w:rPr>
          <w:sz w:val="28"/>
        </w:rPr>
        <w:t xml:space="preserve"> the Court narrowed BCRA’s reach in </w:t>
      </w:r>
      <w:r w:rsidR="008A2231" w:rsidRPr="00B31D29">
        <w:rPr>
          <w:i/>
          <w:sz w:val="28"/>
        </w:rPr>
        <w:t>FEC</w:t>
      </w:r>
      <w:r w:rsidRPr="00B31D29">
        <w:rPr>
          <w:i/>
          <w:sz w:val="28"/>
        </w:rPr>
        <w:t xml:space="preserve"> v. Wisconsin Right to Life, Inc.</w:t>
      </w:r>
      <w:r w:rsidRPr="00B31D29">
        <w:rPr>
          <w:sz w:val="28"/>
        </w:rPr>
        <w:t xml:space="preserve">, by holding that BCRA’s ban on corporate or union spending on electioneering communications was constitutional only if the communication in question could be “susceptible of </w:t>
      </w:r>
      <w:r w:rsidRPr="00B31D29">
        <w:rPr>
          <w:i/>
          <w:sz w:val="28"/>
        </w:rPr>
        <w:t>no reasonable interpretation other than</w:t>
      </w:r>
      <w:r w:rsidRPr="00B31D29">
        <w:rPr>
          <w:sz w:val="28"/>
        </w:rPr>
        <w:t xml:space="preserve"> as an appeal to vote for or against a specific candidate.”</w:t>
      </w:r>
      <w:r w:rsidRPr="00B31D29">
        <w:rPr>
          <w:rStyle w:val="NoterefInText"/>
          <w:sz w:val="18"/>
        </w:rPr>
        <w:footnoteReference w:id="64"/>
      </w:r>
    </w:p>
    <w:p w14:paraId="0B167287" w14:textId="0000BD4C" w:rsidR="005536CD" w:rsidRPr="00B31D29" w:rsidRDefault="005536CD" w:rsidP="00BA13DF">
      <w:pPr>
        <w:pStyle w:val="SubHead2"/>
        <w:outlineLvl w:val="1"/>
        <w:rPr>
          <w:sz w:val="28"/>
        </w:rPr>
      </w:pPr>
      <w:bookmarkStart w:id="12" w:name="_Toc504798752"/>
      <w:r w:rsidRPr="00B31D29">
        <w:rPr>
          <w:sz w:val="28"/>
        </w:rPr>
        <w:t>C.  </w:t>
      </w:r>
      <w:r w:rsidRPr="00B31D29">
        <w:rPr>
          <w:i/>
          <w:sz w:val="28"/>
        </w:rPr>
        <w:t>Citizens United v. FEC</w:t>
      </w:r>
      <w:bookmarkEnd w:id="12"/>
    </w:p>
    <w:p w14:paraId="7734584B" w14:textId="63424560" w:rsidR="005536CD" w:rsidRPr="00B31D29" w:rsidRDefault="005536CD" w:rsidP="00637AD3">
      <w:pPr>
        <w:pStyle w:val="Document"/>
        <w:widowControl w:val="0"/>
        <w:rPr>
          <w:sz w:val="28"/>
        </w:rPr>
      </w:pPr>
      <w:r w:rsidRPr="00B31D29">
        <w:rPr>
          <w:sz w:val="28"/>
        </w:rPr>
        <w:t>BCRA came under fire again in the now</w:t>
      </w:r>
      <w:r w:rsidR="009E0B19" w:rsidRPr="00B31D29">
        <w:rPr>
          <w:sz w:val="28"/>
        </w:rPr>
        <w:t>-</w:t>
      </w:r>
      <w:r w:rsidRPr="00B31D29">
        <w:rPr>
          <w:sz w:val="28"/>
        </w:rPr>
        <w:t xml:space="preserve">infamous </w:t>
      </w:r>
      <w:r w:rsidRPr="00B31D29">
        <w:rPr>
          <w:i/>
          <w:sz w:val="28"/>
        </w:rPr>
        <w:t xml:space="preserve">Citizens United v. </w:t>
      </w:r>
      <w:r w:rsidR="003C2E38" w:rsidRPr="00B31D29">
        <w:rPr>
          <w:i/>
          <w:sz w:val="28"/>
        </w:rPr>
        <w:t>FEC</w:t>
      </w:r>
      <w:r w:rsidRPr="00B31D29">
        <w:rPr>
          <w:sz w:val="28"/>
        </w:rPr>
        <w:t>.</w:t>
      </w:r>
      <w:r w:rsidRPr="00B31D29">
        <w:rPr>
          <w:rStyle w:val="NoterefInText"/>
          <w:sz w:val="18"/>
        </w:rPr>
        <w:footnoteReference w:id="65"/>
      </w:r>
      <w:r w:rsidRPr="00B31D29">
        <w:rPr>
          <w:sz w:val="28"/>
        </w:rPr>
        <w:t xml:space="preserve"> In </w:t>
      </w:r>
      <w:r w:rsidRPr="00B31D29">
        <w:rPr>
          <w:i/>
          <w:sz w:val="28"/>
        </w:rPr>
        <w:t>Citizens United</w:t>
      </w:r>
      <w:r w:rsidRPr="00B31D29">
        <w:rPr>
          <w:sz w:val="28"/>
        </w:rPr>
        <w:t xml:space="preserve">, the Supreme Court </w:t>
      </w:r>
      <w:r w:rsidR="00333C67" w:rsidRPr="00B31D29">
        <w:rPr>
          <w:sz w:val="28"/>
        </w:rPr>
        <w:t xml:space="preserve">reviewed </w:t>
      </w:r>
      <w:r w:rsidRPr="00B31D29">
        <w:rPr>
          <w:sz w:val="28"/>
        </w:rPr>
        <w:t xml:space="preserve">whether </w:t>
      </w:r>
      <w:r w:rsidR="009E0B19" w:rsidRPr="00B31D29">
        <w:rPr>
          <w:sz w:val="28"/>
          <w:szCs w:val="16"/>
        </w:rPr>
        <w:t>Section</w:t>
      </w:r>
      <w:r w:rsidR="00F83569" w:rsidRPr="00B31D29">
        <w:rPr>
          <w:sz w:val="28"/>
          <w:szCs w:val="16"/>
        </w:rPr>
        <w:t xml:space="preserve"> </w:t>
      </w:r>
      <w:r w:rsidRPr="00B31D29">
        <w:rPr>
          <w:sz w:val="28"/>
        </w:rPr>
        <w:t xml:space="preserve">203 of BCRA, banning </w:t>
      </w:r>
      <w:r w:rsidRPr="00B31D29">
        <w:rPr>
          <w:sz w:val="28"/>
        </w:rPr>
        <w:lastRenderedPageBreak/>
        <w:t>corporate use of general treasury funds for electioneering communications</w:t>
      </w:r>
      <w:r w:rsidR="00333C67" w:rsidRPr="00B31D29">
        <w:rPr>
          <w:sz w:val="28"/>
        </w:rPr>
        <w:t>,</w:t>
      </w:r>
      <w:r w:rsidRPr="00B31D29">
        <w:rPr>
          <w:sz w:val="28"/>
        </w:rPr>
        <w:t xml:space="preserve"> was constitutional on its face and as applied to the documentary film </w:t>
      </w:r>
      <w:r w:rsidRPr="00B31D29">
        <w:rPr>
          <w:i/>
          <w:sz w:val="28"/>
        </w:rPr>
        <w:t>Hillary: The Movie</w:t>
      </w:r>
      <w:r w:rsidRPr="00B31D29">
        <w:rPr>
          <w:sz w:val="28"/>
        </w:rPr>
        <w:t>, which criticized presidential candidate Hillary Clinton.</w:t>
      </w:r>
      <w:r w:rsidRPr="00B31D29">
        <w:rPr>
          <w:rStyle w:val="NoterefInText"/>
          <w:sz w:val="18"/>
        </w:rPr>
        <w:footnoteReference w:id="66"/>
      </w:r>
      <w:r w:rsidRPr="00B31D29">
        <w:rPr>
          <w:sz w:val="28"/>
        </w:rPr>
        <w:t xml:space="preserve"> Additionally, the Court was evaluating whether BCRA’s disclosure and disclaimer requirements were unconstitutional as applied to the film and to the short advertisements used to promote it.</w:t>
      </w:r>
      <w:r w:rsidRPr="00B31D29">
        <w:rPr>
          <w:rStyle w:val="NoterefInText"/>
          <w:sz w:val="18"/>
        </w:rPr>
        <w:footnoteReference w:id="67"/>
      </w:r>
      <w:r w:rsidRPr="00B31D29">
        <w:rPr>
          <w:sz w:val="28"/>
        </w:rPr>
        <w:t xml:space="preserve"> Specifically, the non-profit organization Citizens United objected to </w:t>
      </w:r>
      <w:r w:rsidR="009E0B19" w:rsidRPr="00B31D29">
        <w:rPr>
          <w:sz w:val="28"/>
          <w:szCs w:val="16"/>
        </w:rPr>
        <w:t>Sections</w:t>
      </w:r>
      <w:r w:rsidR="00F83569" w:rsidRPr="00B31D29">
        <w:rPr>
          <w:sz w:val="28"/>
          <w:szCs w:val="16"/>
        </w:rPr>
        <w:t xml:space="preserve"> </w:t>
      </w:r>
      <w:r w:rsidRPr="00B31D29">
        <w:rPr>
          <w:sz w:val="28"/>
        </w:rPr>
        <w:t>201 and 311 of BCRA.</w:t>
      </w:r>
      <w:r w:rsidRPr="00B31D29">
        <w:rPr>
          <w:rStyle w:val="NoterefInText"/>
          <w:sz w:val="18"/>
        </w:rPr>
        <w:footnoteReference w:id="68"/>
      </w:r>
      <w:r w:rsidRPr="00B31D29">
        <w:rPr>
          <w:sz w:val="28"/>
        </w:rPr>
        <w:t xml:space="preserve"> Section 201 required corporations that spent more than $10,000 on electioneering communications to send a report to the FEC.</w:t>
      </w:r>
      <w:r w:rsidRPr="00B31D29">
        <w:rPr>
          <w:rStyle w:val="NoterefInText"/>
          <w:sz w:val="18"/>
        </w:rPr>
        <w:footnoteReference w:id="69"/>
      </w:r>
      <w:r w:rsidRPr="00B31D29">
        <w:rPr>
          <w:sz w:val="28"/>
        </w:rPr>
        <w:t xml:space="preserve"> Section 311 required all electioneering communications not funded by a candidate to include a verbal disclaimer identifying who supported the ad as well as a written disclaimer, shown for four seconds, revealing the name and contact information </w:t>
      </w:r>
      <w:r w:rsidR="009E0B19" w:rsidRPr="00B31D29">
        <w:rPr>
          <w:sz w:val="28"/>
        </w:rPr>
        <w:t xml:space="preserve">of </w:t>
      </w:r>
      <w:r w:rsidRPr="00B31D29">
        <w:rPr>
          <w:sz w:val="28"/>
        </w:rPr>
        <w:t>the sponsoring organization</w:t>
      </w:r>
      <w:r w:rsidR="009E0B19" w:rsidRPr="00B31D29">
        <w:rPr>
          <w:sz w:val="28"/>
        </w:rPr>
        <w:t xml:space="preserve"> and stating</w:t>
      </w:r>
      <w:r w:rsidRPr="00B31D29">
        <w:rPr>
          <w:sz w:val="28"/>
        </w:rPr>
        <w:t xml:space="preserve"> that the communication </w:t>
      </w:r>
      <w:r w:rsidR="009E0B19" w:rsidRPr="00B31D29">
        <w:rPr>
          <w:sz w:val="28"/>
        </w:rPr>
        <w:t xml:space="preserve">was </w:t>
      </w:r>
      <w:r w:rsidRPr="00B31D29">
        <w:rPr>
          <w:sz w:val="28"/>
        </w:rPr>
        <w:t>not authorized by any candidate or committee.</w:t>
      </w:r>
      <w:r w:rsidRPr="00B31D29">
        <w:rPr>
          <w:rStyle w:val="NoterefInText"/>
          <w:sz w:val="18"/>
        </w:rPr>
        <w:footnoteReference w:id="70"/>
      </w:r>
      <w:r w:rsidRPr="00B31D29">
        <w:rPr>
          <w:sz w:val="28"/>
        </w:rPr>
        <w:t xml:space="preserve"> Citizens United argued that these requirements would subject their donors to harassment and distract viewers from their message.</w:t>
      </w:r>
      <w:r w:rsidRPr="00B31D29">
        <w:rPr>
          <w:rStyle w:val="NoterefInText"/>
          <w:sz w:val="18"/>
        </w:rPr>
        <w:footnoteReference w:id="71"/>
      </w:r>
    </w:p>
    <w:p w14:paraId="2E2C26C1" w14:textId="12BF02DE" w:rsidR="005536CD" w:rsidRPr="00B31D29" w:rsidRDefault="005536CD" w:rsidP="00637AD3">
      <w:pPr>
        <w:pStyle w:val="Document"/>
        <w:widowControl w:val="0"/>
        <w:rPr>
          <w:sz w:val="28"/>
        </w:rPr>
      </w:pPr>
      <w:r w:rsidRPr="00B31D29">
        <w:rPr>
          <w:sz w:val="28"/>
        </w:rPr>
        <w:t>This time, the Supreme Court struck down BCRA’s ban on corporate electioneering and independent expenditures.</w:t>
      </w:r>
      <w:r w:rsidRPr="00B31D29">
        <w:rPr>
          <w:rStyle w:val="NoterefInText"/>
          <w:sz w:val="18"/>
        </w:rPr>
        <w:footnoteReference w:id="72"/>
      </w:r>
      <w:r w:rsidRPr="00B31D29">
        <w:rPr>
          <w:sz w:val="28"/>
        </w:rPr>
        <w:t xml:space="preserve"> The Supreme Court held that banning corporations from using their general treasury funds on express advocacy impermissibly infringes on the First Amendment right to speech.</w:t>
      </w:r>
      <w:r w:rsidRPr="00B31D29">
        <w:rPr>
          <w:rStyle w:val="NoterefInText"/>
          <w:sz w:val="18"/>
        </w:rPr>
        <w:footnoteReference w:id="73"/>
      </w:r>
      <w:r w:rsidRPr="00B31D29">
        <w:rPr>
          <w:sz w:val="28"/>
        </w:rPr>
        <w:t xml:space="preserve"> Writing on behalf of the </w:t>
      </w:r>
      <w:r w:rsidRPr="00B31D29">
        <w:rPr>
          <w:sz w:val="28"/>
        </w:rPr>
        <w:lastRenderedPageBreak/>
        <w:t xml:space="preserve">Court, Justice Kennedy </w:t>
      </w:r>
      <w:r w:rsidR="00263D00" w:rsidRPr="00B31D29">
        <w:rPr>
          <w:sz w:val="28"/>
        </w:rPr>
        <w:t>stated,</w:t>
      </w:r>
      <w:r w:rsidRPr="00B31D29">
        <w:rPr>
          <w:sz w:val="28"/>
        </w:rPr>
        <w:t xml:space="preserve"> “independent expenditures, including those made by corporations, do not give rise to corruption or the appearance of corruption.”</w:t>
      </w:r>
      <w:r w:rsidRPr="00B31D29">
        <w:rPr>
          <w:rStyle w:val="NoterefInText"/>
          <w:sz w:val="18"/>
        </w:rPr>
        <w:footnoteReference w:id="74"/>
      </w:r>
      <w:r w:rsidRPr="00B31D29">
        <w:rPr>
          <w:sz w:val="28"/>
        </w:rPr>
        <w:t xml:space="preserve"> In reference to electioneering communications, he wrote</w:t>
      </w:r>
      <w:r w:rsidR="000E5A2A" w:rsidRPr="00B31D29">
        <w:rPr>
          <w:sz w:val="28"/>
        </w:rPr>
        <w:t xml:space="preserve">, </w:t>
      </w:r>
      <w:r w:rsidRPr="00B31D29">
        <w:rPr>
          <w:sz w:val="28"/>
        </w:rPr>
        <w:t>“it seems stranger than fiction for our Government to make this political speech [preceding an election] a crime.”</w:t>
      </w:r>
      <w:r w:rsidRPr="00B31D29">
        <w:rPr>
          <w:rStyle w:val="NoterefInText"/>
          <w:sz w:val="18"/>
        </w:rPr>
        <w:footnoteReference w:id="75"/>
      </w:r>
    </w:p>
    <w:p w14:paraId="6ED78BDC" w14:textId="188D2E9F" w:rsidR="005536CD" w:rsidRPr="00B31D29" w:rsidRDefault="005536CD" w:rsidP="00637AD3">
      <w:pPr>
        <w:pStyle w:val="Document"/>
        <w:widowControl w:val="0"/>
        <w:rPr>
          <w:sz w:val="28"/>
        </w:rPr>
      </w:pPr>
      <w:r w:rsidRPr="00B31D29">
        <w:rPr>
          <w:sz w:val="28"/>
        </w:rPr>
        <w:t>Nevertheless, the Court remained firm on its support of disclosure</w:t>
      </w:r>
      <w:r w:rsidR="00C64F87" w:rsidRPr="00B31D29">
        <w:rPr>
          <w:sz w:val="28"/>
        </w:rPr>
        <w:t>,</w:t>
      </w:r>
      <w:r w:rsidRPr="00B31D29">
        <w:rPr>
          <w:sz w:val="28"/>
        </w:rPr>
        <w:t xml:space="preserve"> with all of the justices</w:t>
      </w:r>
      <w:r w:rsidR="00670DDC" w:rsidRPr="00B31D29">
        <w:rPr>
          <w:sz w:val="28"/>
        </w:rPr>
        <w:t xml:space="preserve"> </w:t>
      </w:r>
      <w:r w:rsidRPr="00B31D29">
        <w:rPr>
          <w:sz w:val="28"/>
        </w:rPr>
        <w:t>except Justice Thomas</w:t>
      </w:r>
      <w:r w:rsidR="00670DDC" w:rsidRPr="00B31D29">
        <w:rPr>
          <w:sz w:val="28"/>
        </w:rPr>
        <w:t xml:space="preserve"> </w:t>
      </w:r>
      <w:r w:rsidRPr="00B31D29">
        <w:rPr>
          <w:sz w:val="28"/>
        </w:rPr>
        <w:t>upholding BCRA’s</w:t>
      </w:r>
      <w:r w:rsidR="00D2049B" w:rsidRPr="00B31D29">
        <w:rPr>
          <w:sz w:val="28"/>
        </w:rPr>
        <w:t xml:space="preserve"> </w:t>
      </w:r>
      <w:r w:rsidRPr="00B31D29">
        <w:rPr>
          <w:sz w:val="28"/>
        </w:rPr>
        <w:t xml:space="preserve">disclosure and disclaimer requirements in </w:t>
      </w:r>
      <w:r w:rsidR="00D2049B" w:rsidRPr="00B31D29">
        <w:rPr>
          <w:sz w:val="28"/>
        </w:rPr>
        <w:t xml:space="preserve">Sections 201 and 311. </w:t>
      </w:r>
      <w:r w:rsidRPr="00B31D29">
        <w:rPr>
          <w:sz w:val="28"/>
        </w:rPr>
        <w:t xml:space="preserve">Quoting itself from </w:t>
      </w:r>
      <w:r w:rsidRPr="00B31D29">
        <w:rPr>
          <w:i/>
          <w:sz w:val="28"/>
        </w:rPr>
        <w:t>McConnell</w:t>
      </w:r>
      <w:r w:rsidRPr="00B31D29">
        <w:rPr>
          <w:sz w:val="28"/>
        </w:rPr>
        <w:t>, the Court stated that while disclosure and disclaimer requirements “may burden the ability to speak,” they do not “prevent anyone from speaking.”</w:t>
      </w:r>
      <w:r w:rsidRPr="00B31D29">
        <w:rPr>
          <w:rStyle w:val="NoterefInText"/>
          <w:sz w:val="18"/>
        </w:rPr>
        <w:footnoteReference w:id="76"/>
      </w:r>
      <w:r w:rsidRPr="00B31D29">
        <w:rPr>
          <w:sz w:val="28"/>
        </w:rPr>
        <w:t xml:space="preserve"> Moreover</w:t>
      </w:r>
      <w:r w:rsidR="00670DDC" w:rsidRPr="00B31D29">
        <w:rPr>
          <w:sz w:val="28"/>
        </w:rPr>
        <w:t xml:space="preserve">, reiterating its analysis from </w:t>
      </w:r>
      <w:r w:rsidR="00670DDC" w:rsidRPr="00B31D29">
        <w:rPr>
          <w:i/>
          <w:sz w:val="28"/>
        </w:rPr>
        <w:t>Buckley</w:t>
      </w:r>
      <w:r w:rsidRPr="00B31D29">
        <w:rPr>
          <w:sz w:val="28"/>
        </w:rPr>
        <w:t>, the Court explained that disclosure and disclaimer requirements justify the encroachment o</w:t>
      </w:r>
      <w:r w:rsidR="00670DDC" w:rsidRPr="00B31D29">
        <w:rPr>
          <w:sz w:val="28"/>
        </w:rPr>
        <w:t>n</w:t>
      </w:r>
      <w:r w:rsidRPr="00B31D29">
        <w:rPr>
          <w:sz w:val="28"/>
        </w:rPr>
        <w:t xml:space="preserve"> speech because they are sufficiently related to the important governmental interest of providing </w:t>
      </w:r>
      <w:r w:rsidR="00670DDC" w:rsidRPr="00B31D29">
        <w:rPr>
          <w:sz w:val="28"/>
        </w:rPr>
        <w:t xml:space="preserve">voters with </w:t>
      </w:r>
      <w:r w:rsidRPr="00B31D29">
        <w:rPr>
          <w:sz w:val="28"/>
        </w:rPr>
        <w:t>information about the source of money in politics prior to an election.</w:t>
      </w:r>
      <w:r w:rsidRPr="00B31D29">
        <w:rPr>
          <w:rStyle w:val="NoterefInText"/>
          <w:sz w:val="18"/>
        </w:rPr>
        <w:footnoteReference w:id="77"/>
      </w:r>
      <w:r w:rsidRPr="00B31D29">
        <w:rPr>
          <w:sz w:val="28"/>
        </w:rPr>
        <w:t xml:space="preserve"> Disclosure permits citizens and corporate shareholders to “make informed decisions and give proper weight to different speakers and messages.”</w:t>
      </w:r>
      <w:r w:rsidRPr="00B31D29">
        <w:rPr>
          <w:rStyle w:val="NoterefInText"/>
          <w:sz w:val="18"/>
        </w:rPr>
        <w:footnoteReference w:id="78"/>
      </w:r>
      <w:r w:rsidRPr="00B31D29">
        <w:rPr>
          <w:sz w:val="28"/>
        </w:rPr>
        <w:t xml:space="preserve"> Therefore, even though disclaimer and disclosure requirements may infringe on the First Amendment, the information that they provide to the electorate justifies the cost.</w:t>
      </w:r>
      <w:r w:rsidRPr="00B31D29">
        <w:rPr>
          <w:rStyle w:val="NoterefInText"/>
          <w:sz w:val="18"/>
        </w:rPr>
        <w:footnoteReference w:id="79"/>
      </w:r>
      <w:r w:rsidRPr="00B31D29">
        <w:rPr>
          <w:sz w:val="28"/>
        </w:rPr>
        <w:t xml:space="preserve"> As it had said in </w:t>
      </w:r>
      <w:r w:rsidRPr="00B31D29">
        <w:rPr>
          <w:i/>
          <w:sz w:val="28"/>
        </w:rPr>
        <w:t>Buckley</w:t>
      </w:r>
      <w:r w:rsidRPr="00B31D29">
        <w:rPr>
          <w:sz w:val="28"/>
        </w:rPr>
        <w:t>,</w:t>
      </w:r>
      <w:r w:rsidR="00670DDC" w:rsidRPr="00B31D29">
        <w:rPr>
          <w:rStyle w:val="NoterefInText"/>
          <w:sz w:val="18"/>
        </w:rPr>
        <w:footnoteReference w:id="80"/>
      </w:r>
      <w:r w:rsidRPr="00B31D29">
        <w:rPr>
          <w:sz w:val="28"/>
        </w:rPr>
        <w:t xml:space="preserve"> the Court repeated in </w:t>
      </w:r>
      <w:r w:rsidRPr="00B31D29">
        <w:rPr>
          <w:i/>
          <w:sz w:val="28"/>
        </w:rPr>
        <w:t>Citizens United</w:t>
      </w:r>
      <w:r w:rsidRPr="00B31D29">
        <w:rPr>
          <w:sz w:val="28"/>
        </w:rPr>
        <w:t xml:space="preserve"> that disclosure requirements are a “less restrictive alternative to more comprehensive regulations of speech.”</w:t>
      </w:r>
      <w:r w:rsidRPr="00B31D29">
        <w:rPr>
          <w:rStyle w:val="NoterefInText"/>
          <w:sz w:val="18"/>
        </w:rPr>
        <w:footnoteReference w:id="81"/>
      </w:r>
      <w:r w:rsidRPr="00B31D29">
        <w:rPr>
          <w:sz w:val="28"/>
        </w:rPr>
        <w:t xml:space="preserve"> Because of the </w:t>
      </w:r>
      <w:r w:rsidRPr="00B31D29">
        <w:rPr>
          <w:sz w:val="28"/>
        </w:rPr>
        <w:lastRenderedPageBreak/>
        <w:t>weight of the informational interest, the Court did not even address the other governmental interests.</w:t>
      </w:r>
      <w:r w:rsidRPr="00B31D29">
        <w:rPr>
          <w:rStyle w:val="NoterefInText"/>
          <w:sz w:val="18"/>
        </w:rPr>
        <w:footnoteReference w:id="82"/>
      </w:r>
    </w:p>
    <w:p w14:paraId="5E1D5747" w14:textId="3859D939" w:rsidR="005536CD" w:rsidRPr="00B31D29" w:rsidRDefault="005536CD" w:rsidP="00637AD3">
      <w:pPr>
        <w:pStyle w:val="Document"/>
        <w:widowControl w:val="0"/>
        <w:rPr>
          <w:sz w:val="28"/>
        </w:rPr>
      </w:pPr>
      <w:r w:rsidRPr="00B31D29">
        <w:rPr>
          <w:sz w:val="28"/>
        </w:rPr>
        <w:t>Although the Court has by and large tended to uphold disclosure laws over the past several decades, it has not done so uniformly</w:t>
      </w:r>
      <w:r w:rsidR="00C77D86" w:rsidRPr="00B31D29">
        <w:rPr>
          <w:sz w:val="28"/>
        </w:rPr>
        <w:t>,</w:t>
      </w:r>
      <w:r w:rsidRPr="00B31D29">
        <w:rPr>
          <w:rStyle w:val="NoterefInText"/>
          <w:sz w:val="18"/>
        </w:rPr>
        <w:footnoteReference w:id="83"/>
      </w:r>
      <w:r w:rsidRPr="00B31D29">
        <w:rPr>
          <w:sz w:val="28"/>
        </w:rPr>
        <w:t xml:space="preserve"> and there is no guarantee that it will continue to take a positive stance on disclosure in the future.</w:t>
      </w:r>
      <w:bookmarkStart w:id="13" w:name="_Ref492481634"/>
      <w:r w:rsidRPr="00B31D29">
        <w:rPr>
          <w:rStyle w:val="NoterefInText"/>
          <w:sz w:val="18"/>
        </w:rPr>
        <w:footnoteReference w:id="84"/>
      </w:r>
      <w:bookmarkEnd w:id="13"/>
      <w:r w:rsidRPr="00B31D29">
        <w:rPr>
          <w:sz w:val="28"/>
        </w:rPr>
        <w:t xml:space="preserve"> Katherine Shaw points out that the Court has always interpreted disclosure laws in relation to other regulations</w:t>
      </w:r>
      <w:r w:rsidR="00C77D86" w:rsidRPr="00B31D29">
        <w:rPr>
          <w:sz w:val="28"/>
        </w:rPr>
        <w:t>,</w:t>
      </w:r>
      <w:r w:rsidRPr="00B31D29">
        <w:rPr>
          <w:sz w:val="28"/>
        </w:rPr>
        <w:t xml:space="preserve"> so disclosure may have appeared less restrictive by comparison.</w:t>
      </w:r>
      <w:r w:rsidRPr="00B31D29">
        <w:rPr>
          <w:rStyle w:val="NoterefInText"/>
          <w:sz w:val="18"/>
        </w:rPr>
        <w:footnoteReference w:id="85"/>
      </w:r>
      <w:r w:rsidRPr="00B31D29">
        <w:rPr>
          <w:sz w:val="28"/>
        </w:rPr>
        <w:t xml:space="preserve"> If, on the other hand, disclosure were </w:t>
      </w:r>
      <w:r w:rsidR="0035069E" w:rsidRPr="00B31D29">
        <w:rPr>
          <w:sz w:val="28"/>
        </w:rPr>
        <w:t xml:space="preserve">to be </w:t>
      </w:r>
      <w:r w:rsidRPr="00B31D29">
        <w:rPr>
          <w:sz w:val="28"/>
        </w:rPr>
        <w:t xml:space="preserve">the only issue in question, the Court </w:t>
      </w:r>
      <w:r w:rsidR="0088178C" w:rsidRPr="00B31D29">
        <w:rPr>
          <w:sz w:val="28"/>
        </w:rPr>
        <w:t xml:space="preserve">might </w:t>
      </w:r>
      <w:r w:rsidRPr="00B31D29">
        <w:rPr>
          <w:sz w:val="28"/>
        </w:rPr>
        <w:t>take</w:t>
      </w:r>
      <w:r w:rsidR="0035069E" w:rsidRPr="00B31D29">
        <w:rPr>
          <w:sz w:val="28"/>
        </w:rPr>
        <w:t xml:space="preserve"> </w:t>
      </w:r>
      <w:r w:rsidRPr="00B31D29">
        <w:rPr>
          <w:sz w:val="28"/>
        </w:rPr>
        <w:t>a different stance.</w:t>
      </w:r>
      <w:r w:rsidRPr="00B31D29">
        <w:rPr>
          <w:rStyle w:val="NoterefInText"/>
          <w:sz w:val="18"/>
        </w:rPr>
        <w:footnoteReference w:id="86"/>
      </w:r>
      <w:r w:rsidRPr="00B31D29">
        <w:rPr>
          <w:sz w:val="28"/>
        </w:rPr>
        <w:t xml:space="preserve"> Furthermore,</w:t>
      </w:r>
      <w:r w:rsidR="003A5D41" w:rsidRPr="00B31D29">
        <w:rPr>
          <w:sz w:val="28"/>
        </w:rPr>
        <w:t xml:space="preserve"> </w:t>
      </w:r>
      <w:r w:rsidRPr="00B31D29">
        <w:rPr>
          <w:sz w:val="28"/>
        </w:rPr>
        <w:t>chang</w:t>
      </w:r>
      <w:r w:rsidR="003A5D41" w:rsidRPr="00B31D29">
        <w:rPr>
          <w:sz w:val="28"/>
        </w:rPr>
        <w:t xml:space="preserve">es in the </w:t>
      </w:r>
      <w:r w:rsidRPr="00B31D29">
        <w:rPr>
          <w:sz w:val="28"/>
        </w:rPr>
        <w:t>composition of the Court will have an immense impact on how disclosure is perceived in the future.</w:t>
      </w:r>
      <w:r w:rsidRPr="00B31D29">
        <w:rPr>
          <w:rStyle w:val="NoterefInText"/>
          <w:sz w:val="18"/>
        </w:rPr>
        <w:footnoteReference w:id="87"/>
      </w:r>
    </w:p>
    <w:p w14:paraId="26AA2F69" w14:textId="309BB5CC" w:rsidR="005536CD" w:rsidRPr="00B31D29" w:rsidRDefault="005536CD" w:rsidP="00C94332">
      <w:pPr>
        <w:pStyle w:val="SubHead1"/>
        <w:outlineLvl w:val="0"/>
        <w:rPr>
          <w:sz w:val="28"/>
        </w:rPr>
      </w:pPr>
      <w:bookmarkStart w:id="14" w:name="_Toc504798753"/>
      <w:r w:rsidRPr="00B31D29">
        <w:rPr>
          <w:sz w:val="28"/>
        </w:rPr>
        <w:t>II.  EMPIRICAL STUDIES MEASURE THE BENEFITS OF DISCLOSURE</w:t>
      </w:r>
      <w:bookmarkEnd w:id="14"/>
    </w:p>
    <w:p w14:paraId="69E9A935" w14:textId="17299C6F" w:rsidR="005536CD" w:rsidRPr="00B31D29" w:rsidRDefault="005536CD" w:rsidP="00637AD3">
      <w:pPr>
        <w:pStyle w:val="Document"/>
        <w:widowControl w:val="0"/>
        <w:rPr>
          <w:sz w:val="28"/>
        </w:rPr>
      </w:pPr>
      <w:r w:rsidRPr="00B31D29">
        <w:rPr>
          <w:sz w:val="28"/>
        </w:rPr>
        <w:t>As discussed in Part I, the Supreme Court has articulated three governmental interests that are supported by campaign finance disclosure: information, anti-corruption, and enforcement.</w:t>
      </w:r>
      <w:r w:rsidRPr="00B31D29">
        <w:rPr>
          <w:rStyle w:val="NoterefInText"/>
          <w:sz w:val="18"/>
        </w:rPr>
        <w:footnoteReference w:id="88"/>
      </w:r>
      <w:r w:rsidRPr="00B31D29">
        <w:rPr>
          <w:sz w:val="28"/>
        </w:rPr>
        <w:t xml:space="preserve"> Focusing in particular on the informational benefit as first articulated in </w:t>
      </w:r>
      <w:r w:rsidRPr="00B31D29">
        <w:rPr>
          <w:i/>
          <w:sz w:val="28"/>
        </w:rPr>
        <w:t>Buckley</w:t>
      </w:r>
      <w:r w:rsidRPr="00B31D29">
        <w:rPr>
          <w:sz w:val="28"/>
        </w:rPr>
        <w:t>, this section outlines several empirical studies that have attempted to measure whether disclosure does in fact support this interest.</w:t>
      </w:r>
    </w:p>
    <w:p w14:paraId="440D3CD5" w14:textId="2C12EA8F" w:rsidR="005536CD" w:rsidRPr="00B31D29" w:rsidRDefault="005536CD" w:rsidP="00BA13DF">
      <w:pPr>
        <w:pStyle w:val="SubHead2"/>
        <w:outlineLvl w:val="1"/>
        <w:rPr>
          <w:sz w:val="28"/>
        </w:rPr>
      </w:pPr>
      <w:bookmarkStart w:id="15" w:name="_Toc504798754"/>
      <w:r w:rsidRPr="00B31D29">
        <w:rPr>
          <w:sz w:val="28"/>
        </w:rPr>
        <w:t>A.  The Effectiveness of Disclaimers</w:t>
      </w:r>
      <w:bookmarkEnd w:id="15"/>
    </w:p>
    <w:p w14:paraId="4AE38468" w14:textId="119AA13F" w:rsidR="005536CD" w:rsidRPr="00B31D29" w:rsidRDefault="005536CD" w:rsidP="00637AD3">
      <w:pPr>
        <w:pStyle w:val="Document"/>
        <w:widowControl w:val="0"/>
        <w:rPr>
          <w:sz w:val="28"/>
        </w:rPr>
      </w:pPr>
      <w:r w:rsidRPr="00B31D29">
        <w:rPr>
          <w:sz w:val="28"/>
        </w:rPr>
        <w:t xml:space="preserve">Campaign finance disclosure may help voters make </w:t>
      </w:r>
      <w:r w:rsidRPr="00B31D29">
        <w:rPr>
          <w:sz w:val="28"/>
        </w:rPr>
        <w:lastRenderedPageBreak/>
        <w:t>better decisions by prompting them to formulate mental shortcuts or heuristics that assist them in making voting choices that align with their policy preferences, even if they are fairly uninformed about the issue or candidate.</w:t>
      </w:r>
      <w:bookmarkStart w:id="16" w:name="_Ref492481635"/>
      <w:r w:rsidRPr="00B31D29">
        <w:rPr>
          <w:rStyle w:val="NoterefInText"/>
          <w:sz w:val="18"/>
        </w:rPr>
        <w:footnoteReference w:id="89"/>
      </w:r>
      <w:bookmarkEnd w:id="16"/>
      <w:r w:rsidRPr="00B31D29">
        <w:rPr>
          <w:sz w:val="28"/>
        </w:rPr>
        <w:t xml:space="preserve"> </w:t>
      </w:r>
      <w:r w:rsidR="0088178C" w:rsidRPr="00B31D29">
        <w:rPr>
          <w:sz w:val="28"/>
        </w:rPr>
        <w:t xml:space="preserve">For example, </w:t>
      </w:r>
      <w:r w:rsidRPr="00B31D29">
        <w:rPr>
          <w:sz w:val="28"/>
        </w:rPr>
        <w:t>Arthur Lupia found that voters who knew that the insurance industry supported a complicated insurance reform proposal were more likely to vote in a way that conformed to their policy interests.</w:t>
      </w:r>
      <w:r w:rsidRPr="00B31D29">
        <w:rPr>
          <w:rStyle w:val="NoterefInText"/>
          <w:sz w:val="18"/>
        </w:rPr>
        <w:footnoteReference w:id="90"/>
      </w:r>
      <w:r w:rsidRPr="00B31D29">
        <w:rPr>
          <w:sz w:val="28"/>
        </w:rPr>
        <w:t xml:space="preserve"> Knowledge of the insurance industry’s position allowed uninformed voters to form the same inferences about the relationship between the proposition and their preferences as voters with “encyclopedic” knowledge.</w:t>
      </w:r>
      <w:r w:rsidR="008A265A" w:rsidRPr="00B31D29">
        <w:rPr>
          <w:rStyle w:val="FootnoteReference"/>
          <w:sz w:val="28"/>
        </w:rPr>
        <w:footnoteReference w:id="91"/>
      </w:r>
      <w:r w:rsidRPr="00B31D29">
        <w:rPr>
          <w:sz w:val="28"/>
        </w:rPr>
        <w:t xml:space="preserve"> These inferences led them to emulate the behavior of more informed voters more closely than uninformed voters who were not aware of the industry’s stance.</w:t>
      </w:r>
      <w:r w:rsidRPr="00B31D29">
        <w:rPr>
          <w:rStyle w:val="NoterefInText"/>
          <w:sz w:val="18"/>
        </w:rPr>
        <w:footnoteReference w:id="92"/>
      </w:r>
      <w:r w:rsidRPr="00B31D29">
        <w:rPr>
          <w:sz w:val="28"/>
        </w:rPr>
        <w:t xml:space="preserve"> </w:t>
      </w:r>
      <w:r w:rsidR="00016F28" w:rsidRPr="00B31D29">
        <w:rPr>
          <w:sz w:val="28"/>
        </w:rPr>
        <w:t xml:space="preserve">Similarly, in </w:t>
      </w:r>
      <w:r w:rsidRPr="00B31D29">
        <w:rPr>
          <w:sz w:val="28"/>
        </w:rPr>
        <w:t xml:space="preserve">the context of political ads, disclaimers can help voters make </w:t>
      </w:r>
      <w:r w:rsidR="005C63DE" w:rsidRPr="00B31D29">
        <w:rPr>
          <w:sz w:val="28"/>
        </w:rPr>
        <w:t>judgments</w:t>
      </w:r>
      <w:r w:rsidRPr="00B31D29">
        <w:rPr>
          <w:sz w:val="28"/>
        </w:rPr>
        <w:t xml:space="preserve"> about the claims made in an ad if they recognize the political party or group sponsoring the message.</w:t>
      </w:r>
      <w:r w:rsidRPr="00B31D29">
        <w:rPr>
          <w:rStyle w:val="NoterefInText"/>
          <w:sz w:val="18"/>
        </w:rPr>
        <w:footnoteReference w:id="93"/>
      </w:r>
    </w:p>
    <w:p w14:paraId="155B5922" w14:textId="786D5437" w:rsidR="005536CD" w:rsidRPr="00B31D29" w:rsidRDefault="005536CD" w:rsidP="00637AD3">
      <w:pPr>
        <w:pStyle w:val="Document"/>
        <w:widowControl w:val="0"/>
        <w:rPr>
          <w:sz w:val="28"/>
        </w:rPr>
      </w:pPr>
      <w:r w:rsidRPr="00B31D29">
        <w:rPr>
          <w:sz w:val="28"/>
        </w:rPr>
        <w:t xml:space="preserve">Other studies have shown that disclaimers can mitigate the effects of attack ads, further demonstrating that </w:t>
      </w:r>
      <w:r w:rsidRPr="00B31D29">
        <w:rPr>
          <w:sz w:val="28"/>
        </w:rPr>
        <w:lastRenderedPageBreak/>
        <w:t xml:space="preserve">disclaimers in political ads can affect voter perception. Conor Dowling and Amber Wichowsky showed study participants a real attack ad from a </w:t>
      </w:r>
      <w:r w:rsidR="00FE0B74" w:rsidRPr="00B31D29">
        <w:rPr>
          <w:sz w:val="28"/>
        </w:rPr>
        <w:t>S</w:t>
      </w:r>
      <w:r w:rsidRPr="00B31D29">
        <w:rPr>
          <w:sz w:val="28"/>
        </w:rPr>
        <w:t>enate race funded by a Republican organization called American Crossroads.</w:t>
      </w:r>
      <w:r w:rsidRPr="00B31D29">
        <w:rPr>
          <w:rStyle w:val="NoterefInText"/>
          <w:sz w:val="18"/>
        </w:rPr>
        <w:footnoteReference w:id="94"/>
      </w:r>
      <w:r w:rsidRPr="00B31D29">
        <w:rPr>
          <w:sz w:val="28"/>
        </w:rPr>
        <w:t xml:space="preserve"> Participants were grouped into one of five disclosure treatment conditions. One group saw a disclaimer listing the top five donors to American Crossroads, the amount</w:t>
      </w:r>
      <w:r w:rsidR="00687367" w:rsidRPr="00B31D29">
        <w:rPr>
          <w:sz w:val="28"/>
        </w:rPr>
        <w:t>s</w:t>
      </w:r>
      <w:r w:rsidRPr="00B31D29">
        <w:rPr>
          <w:sz w:val="28"/>
        </w:rPr>
        <w:t xml:space="preserve"> they contributed, and their state</w:t>
      </w:r>
      <w:r w:rsidR="00B65B55" w:rsidRPr="00B31D29">
        <w:rPr>
          <w:sz w:val="28"/>
        </w:rPr>
        <w:t>s</w:t>
      </w:r>
      <w:r w:rsidRPr="00B31D29">
        <w:rPr>
          <w:sz w:val="28"/>
        </w:rPr>
        <w:t xml:space="preserve"> of residence presented in table format. Three groups were shown news articles after viewing the ad</w:t>
      </w:r>
      <w:r w:rsidR="00016F28" w:rsidRPr="00B31D29">
        <w:rPr>
          <w:sz w:val="28"/>
        </w:rPr>
        <w:t>, with</w:t>
      </w:r>
      <w:r w:rsidRPr="00B31D29">
        <w:rPr>
          <w:sz w:val="28"/>
        </w:rPr>
        <w:t xml:space="preserve"> all participants in these groups read</w:t>
      </w:r>
      <w:r w:rsidR="00016F28" w:rsidRPr="00B31D29">
        <w:rPr>
          <w:sz w:val="28"/>
        </w:rPr>
        <w:t>ing</w:t>
      </w:r>
      <w:r w:rsidRPr="00B31D29">
        <w:rPr>
          <w:sz w:val="28"/>
        </w:rPr>
        <w:t xml:space="preserve"> about the high spending in this campaign</w:t>
      </w:r>
      <w:r w:rsidR="00016F28" w:rsidRPr="00B31D29">
        <w:rPr>
          <w:sz w:val="28"/>
        </w:rPr>
        <w:t>.</w:t>
      </w:r>
      <w:r w:rsidRPr="00B31D29">
        <w:rPr>
          <w:sz w:val="28"/>
        </w:rPr>
        <w:t xml:space="preserve"> </w:t>
      </w:r>
      <w:r w:rsidR="00016F28" w:rsidRPr="00B31D29">
        <w:rPr>
          <w:sz w:val="28"/>
        </w:rPr>
        <w:t>O</w:t>
      </w:r>
      <w:r w:rsidRPr="00B31D29">
        <w:rPr>
          <w:sz w:val="28"/>
        </w:rPr>
        <w:t xml:space="preserve">ne </w:t>
      </w:r>
      <w:r w:rsidR="00016F28" w:rsidRPr="00B31D29">
        <w:rPr>
          <w:sz w:val="28"/>
        </w:rPr>
        <w:t xml:space="preserve">of these </w:t>
      </w:r>
      <w:r w:rsidRPr="00B31D29">
        <w:rPr>
          <w:sz w:val="28"/>
        </w:rPr>
        <w:t>group</w:t>
      </w:r>
      <w:r w:rsidR="00016F28" w:rsidRPr="00B31D29">
        <w:rPr>
          <w:sz w:val="28"/>
        </w:rPr>
        <w:t>s</w:t>
      </w:r>
      <w:r w:rsidRPr="00B31D29">
        <w:rPr>
          <w:sz w:val="28"/>
        </w:rPr>
        <w:t xml:space="preserve"> also </w:t>
      </w:r>
      <w:r w:rsidR="00016F28" w:rsidRPr="00B31D29">
        <w:rPr>
          <w:sz w:val="28"/>
        </w:rPr>
        <w:t xml:space="preserve">received </w:t>
      </w:r>
      <w:r w:rsidRPr="00B31D29">
        <w:rPr>
          <w:sz w:val="28"/>
        </w:rPr>
        <w:t xml:space="preserve">an article about the special interests that contributed to American Crossroads; another group read an article explaining the prevalence of anonymous donors sponsoring political ads, emphasizing in particular that American Crossroads had chosen to keep its donors secret; the third group in this treatment did not get any information about donors to American Crossroads at all. The final treatment group simply </w:t>
      </w:r>
      <w:r w:rsidR="00016F28" w:rsidRPr="00B31D29">
        <w:rPr>
          <w:sz w:val="28"/>
        </w:rPr>
        <w:t xml:space="preserve">saw </w:t>
      </w:r>
      <w:r w:rsidRPr="00B31D29">
        <w:rPr>
          <w:sz w:val="28"/>
        </w:rPr>
        <w:t>the ad without receiving any additional information about American Crossroads.</w:t>
      </w:r>
      <w:r w:rsidRPr="00B31D29">
        <w:rPr>
          <w:rStyle w:val="NoterefInText"/>
          <w:sz w:val="18"/>
        </w:rPr>
        <w:footnoteReference w:id="95"/>
      </w:r>
    </w:p>
    <w:p w14:paraId="6C772E89" w14:textId="756CE1AF" w:rsidR="005536CD" w:rsidRPr="00B31D29" w:rsidRDefault="005536CD" w:rsidP="00637AD3">
      <w:pPr>
        <w:pStyle w:val="Document"/>
        <w:widowControl w:val="0"/>
        <w:rPr>
          <w:sz w:val="28"/>
        </w:rPr>
      </w:pPr>
      <w:r w:rsidRPr="00B31D29">
        <w:rPr>
          <w:sz w:val="28"/>
        </w:rPr>
        <w:t>Dowling and Wichowsky found that while the attack ads created a more negative perception of the attacked candidate, participants who received some additional information about the sponsors of the ads were more supportive of the attacked candidate than participants who</w:t>
      </w:r>
      <w:r w:rsidR="0088018F" w:rsidRPr="00B31D29">
        <w:rPr>
          <w:sz w:val="28"/>
        </w:rPr>
        <w:t xml:space="preserve"> </w:t>
      </w:r>
      <w:r w:rsidR="00501B2B" w:rsidRPr="00B31D29">
        <w:rPr>
          <w:sz w:val="28"/>
        </w:rPr>
        <w:t>watched the ad</w:t>
      </w:r>
      <w:r w:rsidR="0088018F" w:rsidRPr="00B31D29">
        <w:rPr>
          <w:sz w:val="28"/>
        </w:rPr>
        <w:t>s</w:t>
      </w:r>
      <w:r w:rsidR="00501B2B" w:rsidRPr="00B31D29">
        <w:rPr>
          <w:sz w:val="28"/>
        </w:rPr>
        <w:t xml:space="preserve"> </w:t>
      </w:r>
      <w:r w:rsidR="0088018F" w:rsidRPr="00B31D29">
        <w:rPr>
          <w:sz w:val="28"/>
        </w:rPr>
        <w:t>but</w:t>
      </w:r>
      <w:r w:rsidRPr="00B31D29">
        <w:rPr>
          <w:sz w:val="28"/>
        </w:rPr>
        <w:t xml:space="preserve"> received no additional information.</w:t>
      </w:r>
      <w:r w:rsidRPr="00B31D29">
        <w:rPr>
          <w:rStyle w:val="NoterefInText"/>
          <w:sz w:val="18"/>
        </w:rPr>
        <w:footnoteReference w:id="96"/>
      </w:r>
      <w:r w:rsidRPr="00B31D29">
        <w:rPr>
          <w:sz w:val="28"/>
        </w:rPr>
        <w:t xml:space="preserve"> News articles stressing the anonymity of donors had the greatest effect of mitigating the attack ad’s persuasiveness.</w:t>
      </w:r>
      <w:r w:rsidRPr="00B31D29">
        <w:rPr>
          <w:rStyle w:val="NoterefInText"/>
          <w:sz w:val="18"/>
        </w:rPr>
        <w:footnoteReference w:id="97"/>
      </w:r>
      <w:r w:rsidRPr="00B31D29">
        <w:rPr>
          <w:sz w:val="28"/>
        </w:rPr>
        <w:t xml:space="preserve"> Dowling and Wichowsky argue that this finding suggests voters might be suspicious of groups who choose not to disclose their donors.</w:t>
      </w:r>
      <w:r w:rsidRPr="00B31D29">
        <w:rPr>
          <w:rStyle w:val="NoterefInText"/>
          <w:sz w:val="18"/>
        </w:rPr>
        <w:footnoteReference w:id="98"/>
      </w:r>
      <w:r w:rsidRPr="00B31D29">
        <w:rPr>
          <w:sz w:val="28"/>
        </w:rPr>
        <w:t xml:space="preserve"> A disclaimer identifying the top five donors of American Crossroads was the second most effective way of mitigating the attack </w:t>
      </w:r>
      <w:r w:rsidRPr="00B31D29">
        <w:rPr>
          <w:sz w:val="28"/>
        </w:rPr>
        <w:lastRenderedPageBreak/>
        <w:t>ad’s negative effect on a targeted candidate.</w:t>
      </w:r>
      <w:r w:rsidRPr="00B31D29">
        <w:rPr>
          <w:rStyle w:val="NoterefInText"/>
          <w:sz w:val="18"/>
        </w:rPr>
        <w:footnoteReference w:id="99"/>
      </w:r>
      <w:r w:rsidRPr="00B31D29">
        <w:rPr>
          <w:sz w:val="28"/>
        </w:rPr>
        <w:t xml:space="preserve"> Wichowsky and Dowling believe that their findings demonstrate not only that voters tend to find anonymous advertising less persuasive, but</w:t>
      </w:r>
      <w:r w:rsidR="00A12C51" w:rsidRPr="00B31D29">
        <w:rPr>
          <w:sz w:val="28"/>
        </w:rPr>
        <w:t xml:space="preserve"> </w:t>
      </w:r>
      <w:r w:rsidRPr="00B31D29">
        <w:rPr>
          <w:sz w:val="28"/>
        </w:rPr>
        <w:t>that the form of disclosure can also weigh heavily on its effectiveness.</w:t>
      </w:r>
      <w:r w:rsidRPr="00B31D29">
        <w:rPr>
          <w:rStyle w:val="NoterefInText"/>
          <w:sz w:val="18"/>
        </w:rPr>
        <w:footnoteReference w:id="100"/>
      </w:r>
      <w:r w:rsidRPr="00B31D29">
        <w:rPr>
          <w:sz w:val="28"/>
        </w:rPr>
        <w:t xml:space="preserve"> They argue that disclaimers are more effective when they present information in “a</w:t>
      </w:r>
      <w:r w:rsidR="000A1E6D" w:rsidRPr="00B31D29">
        <w:rPr>
          <w:sz w:val="28"/>
        </w:rPr>
        <w:t xml:space="preserve"> more</w:t>
      </w:r>
      <w:r w:rsidRPr="00B31D29">
        <w:rPr>
          <w:sz w:val="28"/>
        </w:rPr>
        <w:t xml:space="preserve"> direct and novel fashion” in the form of a table similar to the way that information is presented on nutrition labels.</w:t>
      </w:r>
      <w:r w:rsidRPr="00B31D29">
        <w:rPr>
          <w:rStyle w:val="NoterefInText"/>
          <w:sz w:val="18"/>
        </w:rPr>
        <w:footnoteReference w:id="101"/>
      </w:r>
    </w:p>
    <w:p w14:paraId="33413F06" w14:textId="747996E2" w:rsidR="005536CD" w:rsidRPr="00B31D29" w:rsidRDefault="005536CD" w:rsidP="00637AD3">
      <w:pPr>
        <w:pStyle w:val="Document"/>
        <w:widowControl w:val="0"/>
        <w:rPr>
          <w:sz w:val="28"/>
        </w:rPr>
      </w:pPr>
      <w:r w:rsidRPr="00B31D29">
        <w:rPr>
          <w:sz w:val="28"/>
        </w:rPr>
        <w:t>In a separate study, Dowling and Wichowsky found that voters perceive attack ads differently depending on whether they are sponsored by a candidate as opposed to a political party or outside group.</w:t>
      </w:r>
      <w:r w:rsidRPr="00B31D29">
        <w:rPr>
          <w:rStyle w:val="NoterefInText"/>
          <w:sz w:val="18"/>
        </w:rPr>
        <w:footnoteReference w:id="102"/>
      </w:r>
      <w:r w:rsidRPr="00B31D29">
        <w:rPr>
          <w:sz w:val="28"/>
        </w:rPr>
        <w:t xml:space="preserve"> Participants were again shown an attack ad from a real</w:t>
      </w:r>
      <w:r w:rsidR="003D663A" w:rsidRPr="00B31D29">
        <w:rPr>
          <w:sz w:val="28"/>
        </w:rPr>
        <w:t xml:space="preserve"> S</w:t>
      </w:r>
      <w:r w:rsidRPr="00B31D29">
        <w:rPr>
          <w:sz w:val="28"/>
        </w:rPr>
        <w:t>enate race</w:t>
      </w:r>
      <w:r w:rsidR="00B571D1" w:rsidRPr="00B31D29">
        <w:rPr>
          <w:sz w:val="28"/>
        </w:rPr>
        <w:t>,</w:t>
      </w:r>
      <w:r w:rsidRPr="00B31D29">
        <w:rPr>
          <w:sz w:val="28"/>
        </w:rPr>
        <w:t xml:space="preserve"> but the ads were altered to include different disclaimers</w:t>
      </w:r>
      <w:r w:rsidR="00A03721" w:rsidRPr="00B31D29">
        <w:rPr>
          <w:sz w:val="28"/>
        </w:rPr>
        <w:t>: o</w:t>
      </w:r>
      <w:r w:rsidRPr="00B31D29">
        <w:rPr>
          <w:sz w:val="28"/>
        </w:rPr>
        <w:t xml:space="preserve">ne disclaimer attributed the ad to </w:t>
      </w:r>
      <w:r w:rsidR="007E70A9" w:rsidRPr="00B31D29">
        <w:rPr>
          <w:sz w:val="28"/>
        </w:rPr>
        <w:t>an</w:t>
      </w:r>
      <w:r w:rsidRPr="00B31D29">
        <w:rPr>
          <w:sz w:val="28"/>
        </w:rPr>
        <w:t xml:space="preserve"> attacking candidate, another to a political party, and a third to</w:t>
      </w:r>
      <w:r w:rsidR="008453E9" w:rsidRPr="00B31D29">
        <w:rPr>
          <w:sz w:val="28"/>
        </w:rPr>
        <w:t xml:space="preserve"> </w:t>
      </w:r>
      <w:r w:rsidRPr="00B31D29">
        <w:rPr>
          <w:sz w:val="28"/>
        </w:rPr>
        <w:t>American Crossroads.</w:t>
      </w:r>
      <w:r w:rsidRPr="00B31D29">
        <w:rPr>
          <w:rStyle w:val="NoterefInText"/>
          <w:sz w:val="18"/>
        </w:rPr>
        <w:footnoteReference w:id="103"/>
      </w:r>
      <w:r w:rsidRPr="00B31D29">
        <w:rPr>
          <w:sz w:val="28"/>
        </w:rPr>
        <w:t xml:space="preserve"> Participants who saw the group and party-sponsored ads were less supportive of the attacked candidate than participants who saw the candidate</w:t>
      </w:r>
      <w:r w:rsidR="00E211D8" w:rsidRPr="00B31D29">
        <w:rPr>
          <w:sz w:val="28"/>
        </w:rPr>
        <w:t>-</w:t>
      </w:r>
      <w:r w:rsidRPr="00B31D29">
        <w:rPr>
          <w:sz w:val="28"/>
        </w:rPr>
        <w:t xml:space="preserve">sponsored </w:t>
      </w:r>
      <w:r w:rsidR="00383E93" w:rsidRPr="00B31D29">
        <w:rPr>
          <w:sz w:val="28"/>
        </w:rPr>
        <w:t>ad.</w:t>
      </w:r>
      <w:r w:rsidR="008453E9" w:rsidRPr="00B31D29">
        <w:rPr>
          <w:rStyle w:val="NoterefInText"/>
          <w:sz w:val="18"/>
        </w:rPr>
        <w:footnoteReference w:id="104"/>
      </w:r>
      <w:r w:rsidRPr="00B31D29">
        <w:rPr>
          <w:sz w:val="28"/>
        </w:rPr>
        <w:t xml:space="preserve"> In other words, an</w:t>
      </w:r>
      <w:r w:rsidR="009F05AD" w:rsidRPr="00B31D29">
        <w:rPr>
          <w:sz w:val="28"/>
        </w:rPr>
        <w:t xml:space="preserve"> attack</w:t>
      </w:r>
      <w:r w:rsidRPr="00B31D29">
        <w:rPr>
          <w:sz w:val="28"/>
        </w:rPr>
        <w:t xml:space="preserve"> ad funded by a party or an outside group was more effective at creating a negative perception</w:t>
      </w:r>
      <w:r w:rsidR="009F05AD" w:rsidRPr="00B31D29">
        <w:rPr>
          <w:sz w:val="28"/>
        </w:rPr>
        <w:t xml:space="preserve"> of the targeted candidate</w:t>
      </w:r>
      <w:r w:rsidRPr="00B31D29">
        <w:rPr>
          <w:sz w:val="28"/>
        </w:rPr>
        <w:t xml:space="preserve"> in the voter than an attack ad funded by a candidate. These findings of backlash were limited to partisans of the attacked candidate</w:t>
      </w:r>
      <w:r w:rsidR="007D1141" w:rsidRPr="00B31D29">
        <w:rPr>
          <w:sz w:val="28"/>
        </w:rPr>
        <w:t>; b</w:t>
      </w:r>
      <w:r w:rsidRPr="00B31D29">
        <w:rPr>
          <w:sz w:val="28"/>
        </w:rPr>
        <w:t>y contrast, subjects who affiliate</w:t>
      </w:r>
      <w:r w:rsidR="007802B3" w:rsidRPr="00B31D29">
        <w:rPr>
          <w:sz w:val="28"/>
        </w:rPr>
        <w:t>d</w:t>
      </w:r>
      <w:r w:rsidRPr="00B31D29">
        <w:rPr>
          <w:sz w:val="28"/>
        </w:rPr>
        <w:t xml:space="preserve"> with the same party as the attacking candidate did not show a backlash regardless of who sponsored the ad.</w:t>
      </w:r>
      <w:r w:rsidRPr="00B31D29">
        <w:rPr>
          <w:rStyle w:val="NoterefInText"/>
          <w:sz w:val="18"/>
        </w:rPr>
        <w:footnoteReference w:id="105"/>
      </w:r>
      <w:r w:rsidRPr="00B31D29">
        <w:rPr>
          <w:sz w:val="28"/>
        </w:rPr>
        <w:t xml:space="preserve"> Dowling and Wichowsky suggest that group and party-sponsored ads result in less backlash because, although voters tend to punish candidates for going negative, they cannot always </w:t>
      </w:r>
      <w:r w:rsidRPr="00B31D29">
        <w:rPr>
          <w:sz w:val="28"/>
        </w:rPr>
        <w:lastRenderedPageBreak/>
        <w:t>connect the party or group ad back to the candidate.</w:t>
      </w:r>
      <w:r w:rsidRPr="00B31D29">
        <w:rPr>
          <w:rStyle w:val="NoterefInText"/>
          <w:sz w:val="18"/>
        </w:rPr>
        <w:footnoteReference w:id="106"/>
      </w:r>
    </w:p>
    <w:p w14:paraId="691B8964" w14:textId="1B31B45A" w:rsidR="005536CD" w:rsidRPr="00B31D29" w:rsidRDefault="005536CD" w:rsidP="00BA13DF">
      <w:pPr>
        <w:pStyle w:val="SubHead2"/>
        <w:outlineLvl w:val="1"/>
        <w:rPr>
          <w:sz w:val="28"/>
        </w:rPr>
      </w:pPr>
      <w:bookmarkStart w:id="17" w:name="_Toc504798755"/>
      <w:r w:rsidRPr="00B31D29">
        <w:rPr>
          <w:sz w:val="28"/>
        </w:rPr>
        <w:t>B.  Voters Value Transparency</w:t>
      </w:r>
      <w:bookmarkEnd w:id="17"/>
    </w:p>
    <w:p w14:paraId="6072B4B7" w14:textId="25F19309" w:rsidR="005536CD" w:rsidRPr="00B31D29" w:rsidRDefault="006052C5" w:rsidP="00637AD3">
      <w:pPr>
        <w:pStyle w:val="Document"/>
        <w:widowControl w:val="0"/>
        <w:rPr>
          <w:sz w:val="28"/>
        </w:rPr>
      </w:pPr>
      <w:r w:rsidRPr="00B31D29">
        <w:rPr>
          <w:sz w:val="28"/>
        </w:rPr>
        <w:t xml:space="preserve">Empirical data </w:t>
      </w:r>
      <w:r w:rsidR="009F0EA6" w:rsidRPr="00B31D29">
        <w:rPr>
          <w:sz w:val="28"/>
        </w:rPr>
        <w:t xml:space="preserve">further </w:t>
      </w:r>
      <w:r w:rsidRPr="00B31D29">
        <w:rPr>
          <w:sz w:val="28"/>
        </w:rPr>
        <w:t xml:space="preserve">shows </w:t>
      </w:r>
      <w:r w:rsidR="005536CD" w:rsidRPr="00B31D29">
        <w:rPr>
          <w:sz w:val="28"/>
        </w:rPr>
        <w:t>that voters not only benefit from the information they glean from disclosure, but</w:t>
      </w:r>
      <w:r w:rsidR="0002049B" w:rsidRPr="00B31D29">
        <w:rPr>
          <w:sz w:val="28"/>
        </w:rPr>
        <w:t xml:space="preserve"> </w:t>
      </w:r>
      <w:r w:rsidR="0013140E" w:rsidRPr="00B31D29">
        <w:rPr>
          <w:sz w:val="28"/>
        </w:rPr>
        <w:t xml:space="preserve">they </w:t>
      </w:r>
      <w:r w:rsidR="0002049B" w:rsidRPr="00B31D29">
        <w:rPr>
          <w:sz w:val="28"/>
        </w:rPr>
        <w:t xml:space="preserve">also </w:t>
      </w:r>
      <w:r w:rsidR="005536CD" w:rsidRPr="00B31D29">
        <w:rPr>
          <w:sz w:val="28"/>
        </w:rPr>
        <w:t>value disclosure and reward more transparent candidates.</w:t>
      </w:r>
      <w:r w:rsidR="005536CD" w:rsidRPr="00B31D29">
        <w:rPr>
          <w:rStyle w:val="NoterefInText"/>
          <w:sz w:val="18"/>
        </w:rPr>
        <w:footnoteReference w:id="107"/>
      </w:r>
      <w:r w:rsidR="005536CD" w:rsidRPr="00B31D29">
        <w:rPr>
          <w:sz w:val="28"/>
        </w:rPr>
        <w:t xml:space="preserve"> </w:t>
      </w:r>
      <w:r w:rsidR="00B51152" w:rsidRPr="00B31D29">
        <w:rPr>
          <w:sz w:val="28"/>
        </w:rPr>
        <w:t xml:space="preserve">Abby </w:t>
      </w:r>
      <w:r w:rsidR="005536CD" w:rsidRPr="00B31D29">
        <w:rPr>
          <w:sz w:val="28"/>
        </w:rPr>
        <w:t xml:space="preserve">Wood </w:t>
      </w:r>
      <w:r w:rsidR="00981969" w:rsidRPr="00B31D29">
        <w:rPr>
          <w:sz w:val="28"/>
        </w:rPr>
        <w:t xml:space="preserve">reviewed </w:t>
      </w:r>
      <w:r w:rsidR="005536CD" w:rsidRPr="00B31D29">
        <w:rPr>
          <w:sz w:val="28"/>
        </w:rPr>
        <w:t>survey</w:t>
      </w:r>
      <w:r w:rsidR="00981969" w:rsidRPr="00B31D29">
        <w:rPr>
          <w:sz w:val="28"/>
        </w:rPr>
        <w:t xml:space="preserve"> responses of</w:t>
      </w:r>
      <w:r w:rsidR="005536CD" w:rsidRPr="00B31D29">
        <w:rPr>
          <w:sz w:val="28"/>
        </w:rPr>
        <w:t xml:space="preserve"> 2</w:t>
      </w:r>
      <w:r w:rsidR="007D1141" w:rsidRPr="00B31D29">
        <w:rPr>
          <w:sz w:val="28"/>
        </w:rPr>
        <w:t>,</w:t>
      </w:r>
      <w:r w:rsidR="005536CD" w:rsidRPr="00B31D29">
        <w:rPr>
          <w:sz w:val="28"/>
        </w:rPr>
        <w:t>000 participants who were asked how often they seek out campaign finance information</w:t>
      </w:r>
      <w:r w:rsidR="0013140E" w:rsidRPr="00B31D29">
        <w:rPr>
          <w:sz w:val="28"/>
        </w:rPr>
        <w:t>,</w:t>
      </w:r>
      <w:r w:rsidR="005536CD" w:rsidRPr="00B31D29">
        <w:rPr>
          <w:sz w:val="28"/>
        </w:rPr>
        <w:t xml:space="preserve"> ranging from “never” to “always.”</w:t>
      </w:r>
      <w:r w:rsidR="005536CD" w:rsidRPr="00B31D29">
        <w:rPr>
          <w:rStyle w:val="NoterefInText"/>
          <w:sz w:val="18"/>
        </w:rPr>
        <w:footnoteReference w:id="108"/>
      </w:r>
      <w:r w:rsidR="005536CD" w:rsidRPr="00B31D29">
        <w:rPr>
          <w:sz w:val="28"/>
        </w:rPr>
        <w:t xml:space="preserve"> Around 75% of respondents reported seeking out disclosure information </w:t>
      </w:r>
      <w:r w:rsidR="00EA6FA3" w:rsidRPr="00B31D29">
        <w:rPr>
          <w:sz w:val="28"/>
        </w:rPr>
        <w:t>“</w:t>
      </w:r>
      <w:r w:rsidR="005536CD" w:rsidRPr="00B31D29">
        <w:rPr>
          <w:sz w:val="28"/>
        </w:rPr>
        <w:t>at least some of the time,</w:t>
      </w:r>
      <w:r w:rsidR="00EA6FA3" w:rsidRPr="00B31D29">
        <w:rPr>
          <w:sz w:val="28"/>
        </w:rPr>
        <w:t>”</w:t>
      </w:r>
      <w:r w:rsidR="005536CD" w:rsidRPr="00B31D29">
        <w:rPr>
          <w:sz w:val="28"/>
        </w:rPr>
        <w:t xml:space="preserve"> and 66% o</w:t>
      </w:r>
      <w:r w:rsidR="00647188" w:rsidRPr="00B31D29">
        <w:rPr>
          <w:sz w:val="28"/>
        </w:rPr>
        <w:t>f</w:t>
      </w:r>
      <w:r w:rsidR="005536CD" w:rsidRPr="00B31D29">
        <w:rPr>
          <w:sz w:val="28"/>
        </w:rPr>
        <w:t xml:space="preserve"> respondents reported that the amount of campaign finance information a candidate discloses is </w:t>
      </w:r>
      <w:r w:rsidR="00EA6FA3" w:rsidRPr="00B31D29">
        <w:rPr>
          <w:sz w:val="28"/>
        </w:rPr>
        <w:t>“</w:t>
      </w:r>
      <w:r w:rsidR="005536CD" w:rsidRPr="00B31D29">
        <w:rPr>
          <w:sz w:val="28"/>
        </w:rPr>
        <w:t>important or very important.</w:t>
      </w:r>
      <w:r w:rsidR="00EA6FA3" w:rsidRPr="00B31D29">
        <w:rPr>
          <w:sz w:val="28"/>
        </w:rPr>
        <w:t>”</w:t>
      </w:r>
      <w:r w:rsidR="005536CD" w:rsidRPr="00B31D29">
        <w:rPr>
          <w:rStyle w:val="NoterefInText"/>
          <w:sz w:val="18"/>
        </w:rPr>
        <w:footnoteReference w:id="109"/>
      </w:r>
    </w:p>
    <w:p w14:paraId="2C3F2D5A" w14:textId="2D564D1A" w:rsidR="005536CD" w:rsidRPr="00B31D29" w:rsidRDefault="005536CD" w:rsidP="00E62F9F">
      <w:pPr>
        <w:pStyle w:val="Document"/>
        <w:widowControl w:val="0"/>
        <w:rPr>
          <w:sz w:val="28"/>
        </w:rPr>
      </w:pPr>
      <w:r w:rsidRPr="00B31D29">
        <w:rPr>
          <w:sz w:val="28"/>
        </w:rPr>
        <w:t>To further test the value of transparency to voters, Wood conducted an experiment</w:t>
      </w:r>
      <w:r w:rsidR="00647188" w:rsidRPr="00B31D29">
        <w:rPr>
          <w:sz w:val="28"/>
        </w:rPr>
        <w:t xml:space="preserve"> </w:t>
      </w:r>
      <w:r w:rsidR="00E62F9F" w:rsidRPr="00B31D29">
        <w:rPr>
          <w:sz w:val="28"/>
        </w:rPr>
        <w:t>in which</w:t>
      </w:r>
      <w:r w:rsidRPr="00B31D29">
        <w:rPr>
          <w:sz w:val="28"/>
        </w:rPr>
        <w:t xml:space="preserve"> </w:t>
      </w:r>
      <w:r w:rsidR="00C84183" w:rsidRPr="00B31D29">
        <w:rPr>
          <w:sz w:val="28"/>
        </w:rPr>
        <w:t>1</w:t>
      </w:r>
      <w:r w:rsidR="007D1141" w:rsidRPr="00B31D29">
        <w:rPr>
          <w:sz w:val="28"/>
        </w:rPr>
        <w:t>,</w:t>
      </w:r>
      <w:r w:rsidR="00C84183" w:rsidRPr="00B31D29">
        <w:rPr>
          <w:sz w:val="28"/>
        </w:rPr>
        <w:t xml:space="preserve">000 </w:t>
      </w:r>
      <w:r w:rsidRPr="00B31D29">
        <w:rPr>
          <w:sz w:val="28"/>
        </w:rPr>
        <w:t xml:space="preserve">respondents were given a blurb about the policy positions of two </w:t>
      </w:r>
      <w:r w:rsidR="001B2A9D" w:rsidRPr="00B31D29">
        <w:rPr>
          <w:sz w:val="28"/>
        </w:rPr>
        <w:t xml:space="preserve">hypothetical </w:t>
      </w:r>
      <w:r w:rsidRPr="00B31D29">
        <w:rPr>
          <w:sz w:val="28"/>
        </w:rPr>
        <w:t xml:space="preserve">candidates for state </w:t>
      </w:r>
      <w:r w:rsidR="000A163D" w:rsidRPr="00B31D29">
        <w:rPr>
          <w:sz w:val="28"/>
        </w:rPr>
        <w:t>S</w:t>
      </w:r>
      <w:r w:rsidRPr="00B31D29">
        <w:rPr>
          <w:sz w:val="28"/>
        </w:rPr>
        <w:t>enate</w:t>
      </w:r>
      <w:r w:rsidR="002978F0" w:rsidRPr="00B31D29">
        <w:rPr>
          <w:sz w:val="28"/>
        </w:rPr>
        <w:t xml:space="preserve"> who</w:t>
      </w:r>
      <w:r w:rsidR="0034198A" w:rsidRPr="00B31D29">
        <w:rPr>
          <w:sz w:val="28"/>
        </w:rPr>
        <w:t xml:space="preserve">se ideologies </w:t>
      </w:r>
      <w:r w:rsidR="002978F0" w:rsidRPr="00B31D29">
        <w:rPr>
          <w:sz w:val="28"/>
        </w:rPr>
        <w:t>were meant to align with the respondents’ stated political views</w:t>
      </w:r>
      <w:r w:rsidRPr="00B31D29">
        <w:rPr>
          <w:sz w:val="28"/>
        </w:rPr>
        <w:t>.</w:t>
      </w:r>
      <w:r w:rsidRPr="00B31D29">
        <w:rPr>
          <w:rStyle w:val="NoterefInText"/>
          <w:sz w:val="18"/>
        </w:rPr>
        <w:footnoteReference w:id="110"/>
      </w:r>
      <w:r w:rsidRPr="00B31D29">
        <w:rPr>
          <w:sz w:val="28"/>
        </w:rPr>
        <w:t xml:space="preserve"> </w:t>
      </w:r>
      <w:r w:rsidR="002978F0" w:rsidRPr="00B31D29">
        <w:rPr>
          <w:sz w:val="28"/>
        </w:rPr>
        <w:t xml:space="preserve">Respondents </w:t>
      </w:r>
      <w:r w:rsidRPr="00B31D29">
        <w:rPr>
          <w:sz w:val="28"/>
        </w:rPr>
        <w:t>were told that one of the candidates received a high transparency grade because she and the independent groups that support</w:t>
      </w:r>
      <w:r w:rsidR="001F15DA" w:rsidRPr="00B31D29">
        <w:rPr>
          <w:sz w:val="28"/>
        </w:rPr>
        <w:t>ed</w:t>
      </w:r>
      <w:r w:rsidRPr="00B31D29">
        <w:rPr>
          <w:sz w:val="28"/>
        </w:rPr>
        <w:t xml:space="preserve"> her disclose</w:t>
      </w:r>
      <w:r w:rsidR="001F15DA" w:rsidRPr="00B31D29">
        <w:rPr>
          <w:sz w:val="28"/>
        </w:rPr>
        <w:t>d</w:t>
      </w:r>
      <w:r w:rsidRPr="00B31D29">
        <w:rPr>
          <w:sz w:val="28"/>
        </w:rPr>
        <w:t xml:space="preserve"> more campaign finance information than required by law. The second candidate, on the other hand, had a low transparency grade because she </w:t>
      </w:r>
      <w:r w:rsidR="001F15DA" w:rsidRPr="00B31D29">
        <w:rPr>
          <w:sz w:val="28"/>
        </w:rPr>
        <w:t>was</w:t>
      </w:r>
      <w:r w:rsidRPr="00B31D29">
        <w:rPr>
          <w:sz w:val="28"/>
        </w:rPr>
        <w:t xml:space="preserve"> supported by independent groups with anonymous donors.</w:t>
      </w:r>
      <w:r w:rsidRPr="00B31D29">
        <w:rPr>
          <w:rStyle w:val="NoterefInText"/>
          <w:sz w:val="18"/>
        </w:rPr>
        <w:footnoteReference w:id="111"/>
      </w:r>
      <w:r w:rsidRPr="00B31D29">
        <w:rPr>
          <w:sz w:val="28"/>
        </w:rPr>
        <w:t xml:space="preserve"> A control group was presented with policy information about the candidates </w:t>
      </w:r>
      <w:r w:rsidR="00823441" w:rsidRPr="00B31D29">
        <w:rPr>
          <w:sz w:val="28"/>
        </w:rPr>
        <w:t xml:space="preserve">but was given </w:t>
      </w:r>
      <w:r w:rsidR="001F15DA" w:rsidRPr="00B31D29">
        <w:rPr>
          <w:sz w:val="28"/>
        </w:rPr>
        <w:t xml:space="preserve">no information </w:t>
      </w:r>
      <w:r w:rsidR="002F268F" w:rsidRPr="00B31D29">
        <w:rPr>
          <w:sz w:val="28"/>
        </w:rPr>
        <w:t>about</w:t>
      </w:r>
      <w:r w:rsidR="001F15DA" w:rsidRPr="00B31D29">
        <w:rPr>
          <w:sz w:val="28"/>
        </w:rPr>
        <w:t xml:space="preserve"> disclosure</w:t>
      </w:r>
      <w:r w:rsidRPr="00B31D29">
        <w:rPr>
          <w:sz w:val="28"/>
        </w:rPr>
        <w:t>.</w:t>
      </w:r>
      <w:r w:rsidRPr="00B31D29">
        <w:rPr>
          <w:rStyle w:val="NoterefInText"/>
          <w:sz w:val="18"/>
        </w:rPr>
        <w:footnoteReference w:id="112"/>
      </w:r>
      <w:r w:rsidRPr="00B31D29">
        <w:rPr>
          <w:sz w:val="28"/>
        </w:rPr>
        <w:t xml:space="preserve"> Compared with the control group, respondents who learned about a candidate’s lack of transparency rated her 9.4 percentage points lower in favorability</w:t>
      </w:r>
      <w:r w:rsidR="007D1141" w:rsidRPr="00B31D29">
        <w:rPr>
          <w:sz w:val="28"/>
        </w:rPr>
        <w:t>; c</w:t>
      </w:r>
      <w:r w:rsidRPr="00B31D29">
        <w:rPr>
          <w:sz w:val="28"/>
        </w:rPr>
        <w:t xml:space="preserve">onversely, respondents were </w:t>
      </w:r>
      <w:r w:rsidR="00CA1577" w:rsidRPr="00B31D29">
        <w:rPr>
          <w:sz w:val="28"/>
        </w:rPr>
        <w:t xml:space="preserve">3.9 </w:t>
      </w:r>
      <w:r w:rsidRPr="00B31D29">
        <w:rPr>
          <w:sz w:val="28"/>
        </w:rPr>
        <w:t xml:space="preserve">percentage points more likely to vote for the candidate with a high </w:t>
      </w:r>
      <w:r w:rsidRPr="00B31D29">
        <w:rPr>
          <w:sz w:val="28"/>
        </w:rPr>
        <w:lastRenderedPageBreak/>
        <w:t>transparency grade than the control group.</w:t>
      </w:r>
      <w:r w:rsidRPr="00B31D29">
        <w:rPr>
          <w:rStyle w:val="NoterefInText"/>
          <w:sz w:val="18"/>
        </w:rPr>
        <w:footnoteReference w:id="113"/>
      </w:r>
      <w:r w:rsidRPr="00B31D29">
        <w:rPr>
          <w:sz w:val="28"/>
        </w:rPr>
        <w:t xml:space="preserve"> Wood explains that the differences in favorability can be partially explained by trust: respondents find less transparent candidates less trustworthy and therefore less favorable.</w:t>
      </w:r>
      <w:r w:rsidRPr="00B31D29">
        <w:rPr>
          <w:rStyle w:val="NoterefInText"/>
          <w:sz w:val="18"/>
        </w:rPr>
        <w:footnoteReference w:id="114"/>
      </w:r>
      <w:r w:rsidRPr="00B31D29">
        <w:rPr>
          <w:sz w:val="28"/>
        </w:rPr>
        <w:t xml:space="preserve"> Wood’s findings suggest that voters not only care about transparency</w:t>
      </w:r>
      <w:r w:rsidR="00502E86" w:rsidRPr="00B31D29">
        <w:rPr>
          <w:sz w:val="28"/>
        </w:rPr>
        <w:t>,</w:t>
      </w:r>
      <w:r w:rsidRPr="00B31D29">
        <w:rPr>
          <w:sz w:val="28"/>
        </w:rPr>
        <w:t xml:space="preserve"> </w:t>
      </w:r>
      <w:r w:rsidR="009C4CB8" w:rsidRPr="00B31D29">
        <w:rPr>
          <w:sz w:val="28"/>
        </w:rPr>
        <w:t>but</w:t>
      </w:r>
      <w:r w:rsidR="00F54C00" w:rsidRPr="00B31D29">
        <w:rPr>
          <w:sz w:val="28"/>
        </w:rPr>
        <w:t xml:space="preserve"> </w:t>
      </w:r>
      <w:r w:rsidRPr="00B31D29">
        <w:rPr>
          <w:sz w:val="28"/>
        </w:rPr>
        <w:t>are</w:t>
      </w:r>
      <w:r w:rsidR="008C6611" w:rsidRPr="00B31D29">
        <w:rPr>
          <w:sz w:val="28"/>
        </w:rPr>
        <w:t xml:space="preserve"> </w:t>
      </w:r>
      <w:r w:rsidRPr="00B31D29">
        <w:rPr>
          <w:sz w:val="28"/>
        </w:rPr>
        <w:t>more likely to vote for more transparent politicians.</w:t>
      </w:r>
      <w:r w:rsidRPr="00B31D29">
        <w:rPr>
          <w:rStyle w:val="NoterefInText"/>
          <w:sz w:val="18"/>
        </w:rPr>
        <w:footnoteReference w:id="115"/>
      </w:r>
    </w:p>
    <w:p w14:paraId="0EBBB096" w14:textId="62D89C2F" w:rsidR="005536CD" w:rsidRPr="00B31D29" w:rsidRDefault="005536CD" w:rsidP="00637AD3">
      <w:pPr>
        <w:pStyle w:val="Document"/>
        <w:widowControl w:val="0"/>
        <w:rPr>
          <w:sz w:val="28"/>
        </w:rPr>
      </w:pPr>
      <w:r w:rsidRPr="00B31D29">
        <w:rPr>
          <w:sz w:val="28"/>
        </w:rPr>
        <w:t xml:space="preserve">The studies discussed </w:t>
      </w:r>
      <w:r w:rsidR="001F15DA" w:rsidRPr="00B31D29">
        <w:rPr>
          <w:sz w:val="28"/>
        </w:rPr>
        <w:t>in this section</w:t>
      </w:r>
      <w:r w:rsidRPr="00B31D29">
        <w:rPr>
          <w:sz w:val="28"/>
        </w:rPr>
        <w:t xml:space="preserve"> suggest that disclosure can affect the persuasiveness of political ads. As such, disclaimers, particularly when clearly presented, may help further the informational interest identified by the Supreme Court as important by providing voters with information and context through which they can filter messages and potentially make decisions that are more aligned with their preferences. Moreover, voters want more information</w:t>
      </w:r>
      <w:r w:rsidR="007D1141" w:rsidRPr="00B31D29">
        <w:rPr>
          <w:sz w:val="28"/>
        </w:rPr>
        <w:t>,</w:t>
      </w:r>
      <w:r w:rsidRPr="00B31D29">
        <w:rPr>
          <w:sz w:val="28"/>
        </w:rPr>
        <w:t xml:space="preserve"> and </w:t>
      </w:r>
      <w:r w:rsidR="007D1141" w:rsidRPr="00B31D29">
        <w:rPr>
          <w:sz w:val="28"/>
        </w:rPr>
        <w:t xml:space="preserve">they </w:t>
      </w:r>
      <w:r w:rsidRPr="00B31D29">
        <w:rPr>
          <w:sz w:val="28"/>
        </w:rPr>
        <w:t>reward candidates who are willing to be transparent with their constituents.</w:t>
      </w:r>
    </w:p>
    <w:p w14:paraId="51722AA1" w14:textId="2C6B023F" w:rsidR="005536CD" w:rsidRPr="00B31D29" w:rsidRDefault="005536CD" w:rsidP="00C94332">
      <w:pPr>
        <w:pStyle w:val="SubHead1"/>
        <w:outlineLvl w:val="0"/>
        <w:rPr>
          <w:sz w:val="28"/>
        </w:rPr>
      </w:pPr>
      <w:bookmarkStart w:id="18" w:name="_Toc504798756"/>
      <w:r w:rsidRPr="00B31D29">
        <w:rPr>
          <w:sz w:val="28"/>
        </w:rPr>
        <w:t>III.  DISCLOSURE ONLINE</w:t>
      </w:r>
      <w:bookmarkEnd w:id="18"/>
    </w:p>
    <w:p w14:paraId="23DA4EE9" w14:textId="75894A98" w:rsidR="005536CD" w:rsidRPr="00B31D29" w:rsidRDefault="005536CD" w:rsidP="00BA13DF">
      <w:pPr>
        <w:pStyle w:val="SubHead2"/>
        <w:outlineLvl w:val="1"/>
        <w:rPr>
          <w:sz w:val="28"/>
        </w:rPr>
      </w:pPr>
      <w:bookmarkStart w:id="19" w:name="_Toc504798757"/>
      <w:r w:rsidRPr="00B31D29">
        <w:rPr>
          <w:sz w:val="28"/>
        </w:rPr>
        <w:t>A.  Free Communication</w:t>
      </w:r>
      <w:bookmarkEnd w:id="19"/>
    </w:p>
    <w:p w14:paraId="4D4E700D" w14:textId="41D3880E" w:rsidR="00887735" w:rsidRPr="00B31D29" w:rsidRDefault="00267AA9" w:rsidP="00BA13DF">
      <w:pPr>
        <w:pStyle w:val="Document"/>
        <w:widowControl w:val="0"/>
        <w:ind w:firstLine="0"/>
        <w:rPr>
          <w:sz w:val="28"/>
        </w:rPr>
      </w:pPr>
      <w:r w:rsidRPr="00B31D29">
        <w:rPr>
          <w:sz w:val="28"/>
        </w:rPr>
        <w:tab/>
      </w:r>
      <w:r w:rsidR="005536CD" w:rsidRPr="00B31D29">
        <w:rPr>
          <w:sz w:val="28"/>
        </w:rPr>
        <w:t>Although the Supreme Court has consistently upheld disclosure laws</w:t>
      </w:r>
      <w:r w:rsidR="006661B5" w:rsidRPr="00B31D29">
        <w:rPr>
          <w:sz w:val="28"/>
        </w:rPr>
        <w:t>,</w:t>
      </w:r>
      <w:r w:rsidR="005536CD" w:rsidRPr="00B31D29">
        <w:rPr>
          <w:sz w:val="28"/>
        </w:rPr>
        <w:t xml:space="preserve"> and empirica</w:t>
      </w:r>
      <w:r w:rsidR="00D04628" w:rsidRPr="00B31D29">
        <w:rPr>
          <w:sz w:val="28"/>
        </w:rPr>
        <w:t>l</w:t>
      </w:r>
      <w:r w:rsidR="00F43434" w:rsidRPr="00B31D29">
        <w:rPr>
          <w:sz w:val="28"/>
        </w:rPr>
        <w:t xml:space="preserve"> st</w:t>
      </w:r>
      <w:r w:rsidR="005536CD" w:rsidRPr="00B31D29">
        <w:rPr>
          <w:sz w:val="28"/>
        </w:rPr>
        <w:t>udies suggest that disclaimers can be an effective way of supporting the informational interest</w:t>
      </w:r>
      <w:r w:rsidR="003C7539" w:rsidRPr="00B31D29">
        <w:rPr>
          <w:sz w:val="28"/>
        </w:rPr>
        <w:t xml:space="preserve"> </w:t>
      </w:r>
      <w:r w:rsidR="00887735" w:rsidRPr="00B31D29">
        <w:rPr>
          <w:sz w:val="28"/>
        </w:rPr>
        <w:t xml:space="preserve">that </w:t>
      </w:r>
      <w:r w:rsidR="005536CD" w:rsidRPr="00B31D29">
        <w:rPr>
          <w:sz w:val="28"/>
        </w:rPr>
        <w:t xml:space="preserve">the Court has articulated as compelling since </w:t>
      </w:r>
      <w:r w:rsidR="005536CD" w:rsidRPr="00B31D29">
        <w:rPr>
          <w:i/>
          <w:sz w:val="28"/>
        </w:rPr>
        <w:t>Buckley</w:t>
      </w:r>
      <w:r w:rsidR="005536CD" w:rsidRPr="00B31D29">
        <w:rPr>
          <w:sz w:val="28"/>
        </w:rPr>
        <w:t>, the FEC has not treated all ads as equals when it comes to disclosure and disclaimers. The FEC requires that disclaimers appear on all “public communications,” identifying whether the communications were paid for or authorized by a candidate.</w:t>
      </w:r>
      <w:r w:rsidR="005536CD" w:rsidRPr="00B31D29">
        <w:rPr>
          <w:rStyle w:val="NoterefInText"/>
          <w:sz w:val="18"/>
        </w:rPr>
        <w:footnoteReference w:id="116"/>
      </w:r>
      <w:r w:rsidR="005536CD" w:rsidRPr="00B31D29">
        <w:rPr>
          <w:sz w:val="28"/>
        </w:rPr>
        <w:t xml:space="preserve"> Ads that are neither paid for nor authorized by candidates must also identify the source of their funding.</w:t>
      </w:r>
      <w:r w:rsidR="005536CD" w:rsidRPr="00B31D29">
        <w:rPr>
          <w:rStyle w:val="NoterefInText"/>
          <w:sz w:val="18"/>
        </w:rPr>
        <w:footnoteReference w:id="117"/>
      </w:r>
      <w:r w:rsidR="005536CD" w:rsidRPr="00B31D29">
        <w:rPr>
          <w:sz w:val="28"/>
        </w:rPr>
        <w:t xml:space="preserve"> Disclaimers must be “presented in a clear and conspicuous manner, to give the reader, observer, or listener adequate notice of the identity of the person or political committee that paid for and</w:t>
      </w:r>
      <w:r w:rsidR="002F7BBF" w:rsidRPr="00B31D29">
        <w:rPr>
          <w:sz w:val="28"/>
        </w:rPr>
        <w:t>,</w:t>
      </w:r>
      <w:r w:rsidR="005536CD" w:rsidRPr="00B31D29">
        <w:rPr>
          <w:sz w:val="28"/>
        </w:rPr>
        <w:t xml:space="preserve"> </w:t>
      </w:r>
      <w:r w:rsidR="005536CD" w:rsidRPr="00B31D29">
        <w:rPr>
          <w:sz w:val="28"/>
        </w:rPr>
        <w:lastRenderedPageBreak/>
        <w:t>whe</w:t>
      </w:r>
      <w:r w:rsidR="002855A8" w:rsidRPr="00B31D29">
        <w:rPr>
          <w:sz w:val="28"/>
        </w:rPr>
        <w:t>re</w:t>
      </w:r>
      <w:r w:rsidR="005536CD" w:rsidRPr="00B31D29">
        <w:rPr>
          <w:sz w:val="28"/>
        </w:rPr>
        <w:t xml:space="preserve"> required, that authorized the communication.”</w:t>
      </w:r>
      <w:r w:rsidR="005536CD" w:rsidRPr="00B31D29">
        <w:rPr>
          <w:rStyle w:val="NoterefInText"/>
          <w:sz w:val="18"/>
        </w:rPr>
        <w:footnoteReference w:id="118"/>
      </w:r>
      <w:r w:rsidR="005536CD" w:rsidRPr="00B31D29">
        <w:rPr>
          <w:sz w:val="28"/>
        </w:rPr>
        <w:t xml:space="preserve"> However, the FEC has made a distinction between television and Internet advertising, which has led to several important loopholes for online ads.</w:t>
      </w:r>
      <w:r w:rsidR="005536CD" w:rsidRPr="00B31D29">
        <w:rPr>
          <w:rStyle w:val="NoterefInText"/>
          <w:sz w:val="18"/>
        </w:rPr>
        <w:footnoteReference w:id="119"/>
      </w:r>
      <w:r w:rsidR="005536CD" w:rsidRPr="00B31D29">
        <w:rPr>
          <w:sz w:val="28"/>
        </w:rPr>
        <w:t xml:space="preserve"> </w:t>
      </w:r>
    </w:p>
    <w:p w14:paraId="159A83B7" w14:textId="0B87B174" w:rsidR="005536CD" w:rsidRPr="00B31D29" w:rsidRDefault="00887735" w:rsidP="00BA13DF">
      <w:pPr>
        <w:pStyle w:val="Document"/>
        <w:widowControl w:val="0"/>
        <w:ind w:firstLine="0"/>
        <w:rPr>
          <w:sz w:val="28"/>
        </w:rPr>
      </w:pPr>
      <w:r w:rsidRPr="00B31D29">
        <w:rPr>
          <w:sz w:val="28"/>
        </w:rPr>
        <w:tab/>
      </w:r>
      <w:r w:rsidR="005536CD" w:rsidRPr="00B31D29">
        <w:rPr>
          <w:sz w:val="28"/>
        </w:rPr>
        <w:t>Advertisements on television are required to include a visual disclaimer</w:t>
      </w:r>
      <w:r w:rsidR="00C338D3" w:rsidRPr="00B31D29">
        <w:rPr>
          <w:sz w:val="28"/>
        </w:rPr>
        <w:t xml:space="preserve">, </w:t>
      </w:r>
      <w:r w:rsidR="005536CD" w:rsidRPr="00B31D29">
        <w:rPr>
          <w:sz w:val="28"/>
        </w:rPr>
        <w:t>as described above. An audio component must</w:t>
      </w:r>
      <w:r w:rsidR="00C338D3" w:rsidRPr="00B31D29">
        <w:rPr>
          <w:sz w:val="28"/>
        </w:rPr>
        <w:t xml:space="preserve"> also</w:t>
      </w:r>
      <w:r w:rsidR="005536CD" w:rsidRPr="00B31D29">
        <w:rPr>
          <w:sz w:val="28"/>
        </w:rPr>
        <w:t xml:space="preserve"> identify whether the advertisement has been approved by a candidate or sponsored by an outside group.</w:t>
      </w:r>
      <w:r w:rsidR="005536CD" w:rsidRPr="00B31D29">
        <w:rPr>
          <w:rStyle w:val="NoterefInText"/>
          <w:sz w:val="18"/>
        </w:rPr>
        <w:footnoteReference w:id="120"/>
      </w:r>
      <w:r w:rsidR="005536CD" w:rsidRPr="00B31D29">
        <w:rPr>
          <w:sz w:val="28"/>
        </w:rPr>
        <w:t xml:space="preserve"> In addition to using disclaimers, candidates must send itemized reports to the FEC detailing their expenditure</w:t>
      </w:r>
      <w:r w:rsidR="004F2DE7" w:rsidRPr="00B31D29">
        <w:rPr>
          <w:sz w:val="28"/>
        </w:rPr>
        <w:t>.</w:t>
      </w:r>
      <w:r w:rsidR="00E42019" w:rsidRPr="00B31D29">
        <w:rPr>
          <w:rStyle w:val="FootnoteReference"/>
          <w:sz w:val="28"/>
        </w:rPr>
        <w:footnoteReference w:id="121"/>
      </w:r>
      <w:r w:rsidR="009637FC" w:rsidRPr="00B31D29">
        <w:rPr>
          <w:sz w:val="28"/>
        </w:rPr>
        <w:t xml:space="preserve"> Furthermore, pursuant </w:t>
      </w:r>
      <w:r w:rsidR="005536CD" w:rsidRPr="00B31D29">
        <w:rPr>
          <w:sz w:val="28"/>
        </w:rPr>
        <w:t>to requirements by the Federal Communications Commission (</w:t>
      </w:r>
      <w:r w:rsidR="00962AE2" w:rsidRPr="00B31D29">
        <w:rPr>
          <w:sz w:val="28"/>
        </w:rPr>
        <w:t>“</w:t>
      </w:r>
      <w:r w:rsidR="005536CD" w:rsidRPr="00B31D29">
        <w:rPr>
          <w:sz w:val="28"/>
        </w:rPr>
        <w:t>FCC</w:t>
      </w:r>
      <w:r w:rsidR="00962AE2" w:rsidRPr="00B31D29">
        <w:rPr>
          <w:sz w:val="28"/>
        </w:rPr>
        <w:t>”</w:t>
      </w:r>
      <w:r w:rsidR="005536CD" w:rsidRPr="00B31D29">
        <w:rPr>
          <w:sz w:val="28"/>
        </w:rPr>
        <w:t>), television broadcast and cable stations must make their contracts for political advertising purchases publicly available, which creates a paper trail of sorts for television communications.</w:t>
      </w:r>
      <w:r w:rsidR="005536CD" w:rsidRPr="00B31D29">
        <w:rPr>
          <w:rStyle w:val="NoterefInText"/>
          <w:sz w:val="18"/>
        </w:rPr>
        <w:footnoteReference w:id="122"/>
      </w:r>
    </w:p>
    <w:p w14:paraId="63BBBB86" w14:textId="1D346E54" w:rsidR="005536CD" w:rsidRPr="00B31D29" w:rsidRDefault="005536CD" w:rsidP="00637AD3">
      <w:pPr>
        <w:pStyle w:val="Document"/>
        <w:widowControl w:val="0"/>
        <w:rPr>
          <w:sz w:val="28"/>
        </w:rPr>
      </w:pPr>
      <w:r w:rsidRPr="00B31D29">
        <w:rPr>
          <w:sz w:val="28"/>
        </w:rPr>
        <w:t xml:space="preserve">Internet advertisements, on the other hand, are only required to have disclaimers </w:t>
      </w:r>
      <w:r w:rsidR="003B154E" w:rsidRPr="00B31D29">
        <w:rPr>
          <w:sz w:val="28"/>
        </w:rPr>
        <w:t xml:space="preserve">when </w:t>
      </w:r>
      <w:r w:rsidR="007D1141" w:rsidRPr="00B31D29">
        <w:rPr>
          <w:sz w:val="28"/>
        </w:rPr>
        <w:t xml:space="preserve">the ads </w:t>
      </w:r>
      <w:r w:rsidRPr="00B31D29">
        <w:rPr>
          <w:sz w:val="28"/>
        </w:rPr>
        <w:t>are purchased for a fee.</w:t>
      </w:r>
      <w:r w:rsidR="00E42019" w:rsidRPr="00B31D29">
        <w:rPr>
          <w:rStyle w:val="FootnoteReference"/>
          <w:sz w:val="28"/>
        </w:rPr>
        <w:footnoteReference w:id="123"/>
      </w:r>
      <w:r w:rsidRPr="00B31D29">
        <w:rPr>
          <w:sz w:val="28"/>
        </w:rPr>
        <w:t xml:space="preserve"> This distinction developed because</w:t>
      </w:r>
      <w:r w:rsidR="003B154E" w:rsidRPr="00B31D29">
        <w:rPr>
          <w:sz w:val="28"/>
        </w:rPr>
        <w:t>,</w:t>
      </w:r>
      <w:r w:rsidRPr="00B31D29">
        <w:rPr>
          <w:sz w:val="28"/>
        </w:rPr>
        <w:t xml:space="preserve"> in 2006, the FEC excluded the Internet from its definition of public communication</w:t>
      </w:r>
      <w:r w:rsidR="003B154E" w:rsidRPr="00B31D29">
        <w:rPr>
          <w:sz w:val="28"/>
        </w:rPr>
        <w:t>. Such communications include</w:t>
      </w:r>
      <w:r w:rsidR="00AD4508" w:rsidRPr="00B31D29">
        <w:rPr>
          <w:sz w:val="28"/>
        </w:rPr>
        <w:t xml:space="preserve"> “</w:t>
      </w:r>
      <w:r w:rsidRPr="00B31D29">
        <w:rPr>
          <w:sz w:val="28"/>
        </w:rPr>
        <w:t>any broadcast, cable, or satellite communication, newspaper, magazine, outdoor advertising facility, mass mailing, or telephone bank to the general public, or any other form of general public political advertising</w:t>
      </w:r>
      <w:r w:rsidR="00AD4508" w:rsidRPr="00B31D29">
        <w:rPr>
          <w:sz w:val="28"/>
        </w:rPr>
        <w:t>.</w:t>
      </w:r>
      <w:r w:rsidRPr="00B31D29">
        <w:rPr>
          <w:sz w:val="28"/>
        </w:rPr>
        <w:t>”</w:t>
      </w:r>
      <w:r w:rsidR="0013140E" w:rsidRPr="00B31D29">
        <w:rPr>
          <w:rStyle w:val="FootnoteReference"/>
          <w:sz w:val="28"/>
        </w:rPr>
        <w:footnoteReference w:id="124"/>
      </w:r>
      <w:r w:rsidR="00AD4508" w:rsidRPr="00B31D29">
        <w:rPr>
          <w:sz w:val="28"/>
        </w:rPr>
        <w:t xml:space="preserve"> However, </w:t>
      </w:r>
      <w:r w:rsidR="003B154E" w:rsidRPr="00B31D29">
        <w:rPr>
          <w:sz w:val="28"/>
        </w:rPr>
        <w:t xml:space="preserve">the only covered Internet </w:t>
      </w:r>
      <w:r w:rsidRPr="00B31D29">
        <w:rPr>
          <w:sz w:val="28"/>
        </w:rPr>
        <w:t>communication</w:t>
      </w:r>
      <w:r w:rsidR="003B154E" w:rsidRPr="00B31D29">
        <w:rPr>
          <w:sz w:val="28"/>
        </w:rPr>
        <w:t>s are those</w:t>
      </w:r>
      <w:r w:rsidRPr="00B31D29">
        <w:rPr>
          <w:sz w:val="28"/>
        </w:rPr>
        <w:t xml:space="preserve"> “placed for a fee on another person’s Web site.”</w:t>
      </w:r>
      <w:r w:rsidRPr="00B31D29">
        <w:rPr>
          <w:rStyle w:val="NoterefInText"/>
          <w:sz w:val="18"/>
        </w:rPr>
        <w:footnoteReference w:id="125"/>
      </w:r>
      <w:r w:rsidRPr="00B31D29">
        <w:rPr>
          <w:sz w:val="28"/>
        </w:rPr>
        <w:t xml:space="preserve"> This definition of public communication leaves</w:t>
      </w:r>
      <w:r w:rsidR="00AD4508" w:rsidRPr="00B31D29">
        <w:rPr>
          <w:sz w:val="28"/>
        </w:rPr>
        <w:t xml:space="preserve"> </w:t>
      </w:r>
      <w:r w:rsidRPr="00B31D29">
        <w:rPr>
          <w:sz w:val="28"/>
        </w:rPr>
        <w:t xml:space="preserve">items </w:t>
      </w:r>
      <w:r w:rsidR="009E5B47" w:rsidRPr="00B31D29">
        <w:rPr>
          <w:sz w:val="28"/>
        </w:rPr>
        <w:t xml:space="preserve">such as </w:t>
      </w:r>
      <w:r w:rsidRPr="00B31D29">
        <w:rPr>
          <w:sz w:val="28"/>
        </w:rPr>
        <w:t>social media posts</w:t>
      </w:r>
      <w:r w:rsidR="009E5B47" w:rsidRPr="00B31D29">
        <w:rPr>
          <w:sz w:val="28"/>
        </w:rPr>
        <w:t xml:space="preserve"> and YouTube or candidate-website </w:t>
      </w:r>
      <w:r w:rsidRPr="00B31D29">
        <w:rPr>
          <w:sz w:val="28"/>
        </w:rPr>
        <w:t>videos</w:t>
      </w:r>
      <w:r w:rsidR="00AD4508" w:rsidRPr="00B31D29">
        <w:rPr>
          <w:sz w:val="28"/>
        </w:rPr>
        <w:t xml:space="preserve"> </w:t>
      </w:r>
      <w:r w:rsidR="00AD4508" w:rsidRPr="00B31D29">
        <w:rPr>
          <w:sz w:val="28"/>
        </w:rPr>
        <w:lastRenderedPageBreak/>
        <w:t>unregulated</w:t>
      </w:r>
      <w:r w:rsidR="00EB66E3" w:rsidRPr="00B31D29">
        <w:rPr>
          <w:sz w:val="28"/>
        </w:rPr>
        <w:t>.</w:t>
      </w:r>
      <w:r w:rsidR="009E5B47" w:rsidRPr="00B31D29">
        <w:rPr>
          <w:sz w:val="28"/>
        </w:rPr>
        <w:t xml:space="preserve"> S</w:t>
      </w:r>
      <w:r w:rsidRPr="00B31D29">
        <w:rPr>
          <w:sz w:val="28"/>
        </w:rPr>
        <w:t xml:space="preserve">pending on advertising </w:t>
      </w:r>
      <w:r w:rsidR="009E5B47" w:rsidRPr="00B31D29">
        <w:rPr>
          <w:sz w:val="28"/>
        </w:rPr>
        <w:t xml:space="preserve">which is </w:t>
      </w:r>
      <w:r w:rsidR="0034198A" w:rsidRPr="00B31D29">
        <w:rPr>
          <w:sz w:val="28"/>
        </w:rPr>
        <w:t xml:space="preserve">hosted </w:t>
      </w:r>
      <w:r w:rsidR="009E5B47" w:rsidRPr="00B31D29">
        <w:rPr>
          <w:sz w:val="28"/>
        </w:rPr>
        <w:t xml:space="preserve">online </w:t>
      </w:r>
      <w:r w:rsidR="0034198A" w:rsidRPr="00B31D29">
        <w:rPr>
          <w:sz w:val="28"/>
        </w:rPr>
        <w:t>free</w:t>
      </w:r>
      <w:r w:rsidR="009E5B47" w:rsidRPr="00B31D29">
        <w:rPr>
          <w:sz w:val="28"/>
        </w:rPr>
        <w:t>-</w:t>
      </w:r>
      <w:r w:rsidR="0034198A" w:rsidRPr="00B31D29">
        <w:rPr>
          <w:sz w:val="28"/>
        </w:rPr>
        <w:t>of</w:t>
      </w:r>
      <w:r w:rsidR="009E5B47" w:rsidRPr="00B31D29">
        <w:rPr>
          <w:sz w:val="28"/>
        </w:rPr>
        <w:t>-</w:t>
      </w:r>
      <w:r w:rsidR="0034198A" w:rsidRPr="00B31D29">
        <w:rPr>
          <w:sz w:val="28"/>
        </w:rPr>
        <w:t xml:space="preserve">charge </w:t>
      </w:r>
      <w:r w:rsidR="009E5B47" w:rsidRPr="00B31D29">
        <w:rPr>
          <w:sz w:val="28"/>
        </w:rPr>
        <w:t>thus</w:t>
      </w:r>
      <w:r w:rsidRPr="00B31D29">
        <w:rPr>
          <w:sz w:val="28"/>
        </w:rPr>
        <w:t xml:space="preserve"> need </w:t>
      </w:r>
      <w:r w:rsidR="009E5B47" w:rsidRPr="00B31D29">
        <w:rPr>
          <w:sz w:val="28"/>
        </w:rPr>
        <w:t xml:space="preserve">not </w:t>
      </w:r>
      <w:r w:rsidRPr="00B31D29">
        <w:rPr>
          <w:sz w:val="28"/>
        </w:rPr>
        <w:t>be disclosed to the FEC</w:t>
      </w:r>
      <w:r w:rsidR="009E5B47" w:rsidRPr="00B31D29">
        <w:rPr>
          <w:sz w:val="28"/>
        </w:rPr>
        <w:t>—</w:t>
      </w:r>
      <w:r w:rsidRPr="00B31D29">
        <w:rPr>
          <w:sz w:val="28"/>
        </w:rPr>
        <w:t xml:space="preserve">and </w:t>
      </w:r>
      <w:r w:rsidR="009E5B47" w:rsidRPr="00B31D29">
        <w:rPr>
          <w:sz w:val="28"/>
        </w:rPr>
        <w:t xml:space="preserve">even </w:t>
      </w:r>
      <w:r w:rsidRPr="00B31D29">
        <w:rPr>
          <w:sz w:val="28"/>
        </w:rPr>
        <w:t xml:space="preserve">contracts for Internet ad </w:t>
      </w:r>
      <w:r w:rsidRPr="00B31D29">
        <w:rPr>
          <w:i/>
          <w:sz w:val="28"/>
        </w:rPr>
        <w:t>purchases</w:t>
      </w:r>
      <w:r w:rsidRPr="00B31D29">
        <w:rPr>
          <w:sz w:val="28"/>
        </w:rPr>
        <w:t xml:space="preserve"> are not </w:t>
      </w:r>
      <w:r w:rsidR="0034198A" w:rsidRPr="00B31D29">
        <w:rPr>
          <w:sz w:val="28"/>
        </w:rPr>
        <w:t xml:space="preserve">made </w:t>
      </w:r>
      <w:r w:rsidRPr="00B31D29">
        <w:rPr>
          <w:sz w:val="28"/>
        </w:rPr>
        <w:t>publicly available, as they are for television buys.</w:t>
      </w:r>
      <w:r w:rsidRPr="00B31D29">
        <w:rPr>
          <w:rStyle w:val="NoterefInText"/>
          <w:sz w:val="18"/>
        </w:rPr>
        <w:footnoteReference w:id="126"/>
      </w:r>
      <w:r w:rsidRPr="00B31D29">
        <w:rPr>
          <w:sz w:val="28"/>
        </w:rPr>
        <w:t xml:space="preserve"> Lee E. Goodman, former Chairman of the FEC and a proponent of Internet deregulation, argues that the rules have created “a robust national forum for political discussion about public policy, government and elections.”</w:t>
      </w:r>
      <w:r w:rsidRPr="00B31D29">
        <w:rPr>
          <w:rStyle w:val="NoterefInText"/>
          <w:sz w:val="18"/>
        </w:rPr>
        <w:footnoteReference w:id="127"/>
      </w:r>
      <w:r w:rsidRPr="00B31D29">
        <w:rPr>
          <w:sz w:val="28"/>
        </w:rPr>
        <w:t xml:space="preserve"> He contends that regulation of Internet platforms is both unfeasible and damaging to political speech and civic engagement.</w:t>
      </w:r>
      <w:r w:rsidRPr="00B31D29">
        <w:rPr>
          <w:rStyle w:val="NoterefInText"/>
          <w:sz w:val="18"/>
        </w:rPr>
        <w:footnoteReference w:id="128"/>
      </w:r>
      <w:r w:rsidRPr="00B31D29">
        <w:rPr>
          <w:sz w:val="28"/>
        </w:rPr>
        <w:t xml:space="preserve"> Yet, these exceptions can also create less transparency because videos, social media posts, and other forms of free communication can reach millions of voters online with essentially no accountability.</w:t>
      </w:r>
    </w:p>
    <w:p w14:paraId="3415FECA" w14:textId="0B5AA8EE" w:rsidR="005536CD" w:rsidRPr="00B31D29" w:rsidRDefault="005536CD" w:rsidP="00BA13DF">
      <w:pPr>
        <w:pStyle w:val="SubHead2"/>
        <w:outlineLvl w:val="1"/>
        <w:rPr>
          <w:sz w:val="28"/>
        </w:rPr>
      </w:pPr>
      <w:bookmarkStart w:id="20" w:name="_Toc504798758"/>
      <w:r w:rsidRPr="00B31D29">
        <w:rPr>
          <w:sz w:val="28"/>
        </w:rPr>
        <w:t>B.  </w:t>
      </w:r>
      <w:r w:rsidR="001E4722" w:rsidRPr="00B31D29">
        <w:rPr>
          <w:sz w:val="28"/>
        </w:rPr>
        <w:t>T</w:t>
      </w:r>
      <w:r w:rsidRPr="00B31D29">
        <w:rPr>
          <w:sz w:val="28"/>
        </w:rPr>
        <w:t>he Small-Items and Impracticable Exceptions</w:t>
      </w:r>
      <w:bookmarkEnd w:id="20"/>
    </w:p>
    <w:p w14:paraId="4ADC4F91" w14:textId="7339E8BA" w:rsidR="005536CD" w:rsidRPr="00B31D29" w:rsidRDefault="005536CD" w:rsidP="00637AD3">
      <w:pPr>
        <w:pStyle w:val="Document"/>
        <w:widowControl w:val="0"/>
        <w:rPr>
          <w:sz w:val="28"/>
        </w:rPr>
      </w:pPr>
      <w:r w:rsidRPr="00B31D29">
        <w:rPr>
          <w:sz w:val="28"/>
        </w:rPr>
        <w:t>Even paid online ads may be subject to further exceptions.</w:t>
      </w:r>
      <w:r w:rsidR="00654AE0" w:rsidRPr="00B31D29">
        <w:rPr>
          <w:sz w:val="28"/>
        </w:rPr>
        <w:t xml:space="preserve"> Namely</w:t>
      </w:r>
      <w:r w:rsidR="005A5A5D" w:rsidRPr="00B31D29">
        <w:rPr>
          <w:sz w:val="28"/>
        </w:rPr>
        <w:t>, a</w:t>
      </w:r>
      <w:r w:rsidRPr="00B31D29">
        <w:rPr>
          <w:sz w:val="28"/>
        </w:rPr>
        <w:t xml:space="preserve">n advertisement does not need to carry a disclaimer if it cannot be “conveniently printed” </w:t>
      </w:r>
      <w:r w:rsidR="005A5A5D" w:rsidRPr="00B31D29">
        <w:rPr>
          <w:sz w:val="28"/>
        </w:rPr>
        <w:t xml:space="preserve">due to </w:t>
      </w:r>
      <w:r w:rsidRPr="00B31D29">
        <w:rPr>
          <w:sz w:val="28"/>
        </w:rPr>
        <w:t xml:space="preserve">the </w:t>
      </w:r>
      <w:r w:rsidR="005A5A5D" w:rsidRPr="00B31D29">
        <w:rPr>
          <w:sz w:val="28"/>
        </w:rPr>
        <w:t xml:space="preserve">ad’s </w:t>
      </w:r>
      <w:r w:rsidRPr="00B31D29">
        <w:rPr>
          <w:sz w:val="28"/>
        </w:rPr>
        <w:t>small</w:t>
      </w:r>
      <w:r w:rsidR="005A5A5D" w:rsidRPr="00B31D29">
        <w:rPr>
          <w:sz w:val="28"/>
        </w:rPr>
        <w:t xml:space="preserve"> size</w:t>
      </w:r>
      <w:r w:rsidRPr="00B31D29">
        <w:rPr>
          <w:sz w:val="28"/>
        </w:rPr>
        <w:t>.</w:t>
      </w:r>
      <w:r w:rsidRPr="00B31D29">
        <w:rPr>
          <w:rStyle w:val="NoterefInText"/>
          <w:sz w:val="18"/>
        </w:rPr>
        <w:footnoteReference w:id="129"/>
      </w:r>
      <w:r w:rsidRPr="00B31D29">
        <w:rPr>
          <w:sz w:val="28"/>
        </w:rPr>
        <w:t xml:space="preserve"> Historically, this exception has applied to </w:t>
      </w:r>
      <w:r w:rsidR="007B7253" w:rsidRPr="00B31D29">
        <w:rPr>
          <w:sz w:val="28"/>
        </w:rPr>
        <w:t>“</w:t>
      </w:r>
      <w:r w:rsidR="008B65B3" w:rsidRPr="00B31D29">
        <w:rPr>
          <w:sz w:val="28"/>
        </w:rPr>
        <w:t>[b]</w:t>
      </w:r>
      <w:r w:rsidRPr="00B31D29">
        <w:rPr>
          <w:sz w:val="28"/>
        </w:rPr>
        <w:t xml:space="preserve">umper stickers, pins, buttons, pens, and </w:t>
      </w:r>
      <w:r w:rsidR="007B7253" w:rsidRPr="00B31D29">
        <w:rPr>
          <w:sz w:val="28"/>
        </w:rPr>
        <w:t>similar</w:t>
      </w:r>
      <w:r w:rsidRPr="00B31D29">
        <w:rPr>
          <w:sz w:val="28"/>
        </w:rPr>
        <w:t xml:space="preserve"> small items.</w:t>
      </w:r>
      <w:r w:rsidR="007B7253" w:rsidRPr="00B31D29">
        <w:rPr>
          <w:sz w:val="28"/>
        </w:rPr>
        <w:t>”</w:t>
      </w:r>
      <w:r w:rsidRPr="00B31D29">
        <w:rPr>
          <w:rStyle w:val="NoterefInText"/>
          <w:sz w:val="18"/>
        </w:rPr>
        <w:footnoteReference w:id="130"/>
      </w:r>
      <w:r w:rsidRPr="00B31D29">
        <w:rPr>
          <w:sz w:val="28"/>
        </w:rPr>
        <w:t xml:space="preserve"> A disclaimer is also unnecessary if it would be impractica</w:t>
      </w:r>
      <w:r w:rsidR="0008430C" w:rsidRPr="00B31D29">
        <w:rPr>
          <w:sz w:val="28"/>
        </w:rPr>
        <w:t>b</w:t>
      </w:r>
      <w:r w:rsidRPr="00B31D29">
        <w:rPr>
          <w:sz w:val="28"/>
        </w:rPr>
        <w:t>l</w:t>
      </w:r>
      <w:r w:rsidR="0008430C" w:rsidRPr="00B31D29">
        <w:rPr>
          <w:sz w:val="28"/>
        </w:rPr>
        <w:t>e</w:t>
      </w:r>
      <w:r w:rsidRPr="00B31D29">
        <w:rPr>
          <w:sz w:val="28"/>
        </w:rPr>
        <w:t xml:space="preserve"> to include one.</w:t>
      </w:r>
      <w:r w:rsidRPr="00B31D29">
        <w:rPr>
          <w:rStyle w:val="NoterefInText"/>
          <w:sz w:val="18"/>
        </w:rPr>
        <w:footnoteReference w:id="131"/>
      </w:r>
      <w:r w:rsidRPr="00B31D29">
        <w:rPr>
          <w:sz w:val="28"/>
        </w:rPr>
        <w:t xml:space="preserve"> This exception has applied to </w:t>
      </w:r>
      <w:r w:rsidR="005A5A5D" w:rsidRPr="00B31D29">
        <w:rPr>
          <w:sz w:val="28"/>
        </w:rPr>
        <w:t xml:space="preserve">formats such as </w:t>
      </w:r>
      <w:r w:rsidRPr="00B31D29">
        <w:rPr>
          <w:sz w:val="28"/>
        </w:rPr>
        <w:t>skywriting and water towers, where it would be very difficult to post a disclaimer.</w:t>
      </w:r>
      <w:r w:rsidRPr="00B31D29">
        <w:rPr>
          <w:rStyle w:val="NoterefInText"/>
          <w:sz w:val="18"/>
        </w:rPr>
        <w:footnoteReference w:id="132"/>
      </w:r>
      <w:r w:rsidRPr="00B31D29">
        <w:rPr>
          <w:sz w:val="28"/>
        </w:rPr>
        <w:t xml:space="preserve"> In recent years, these exceptions have generated newfound attention because of their potential application to Internet and mobile advertising.</w:t>
      </w:r>
      <w:bookmarkStart w:id="21" w:name="_Ref496705330"/>
      <w:r w:rsidRPr="00B31D29">
        <w:rPr>
          <w:rStyle w:val="NoterefInText"/>
          <w:sz w:val="18"/>
        </w:rPr>
        <w:footnoteReference w:id="133"/>
      </w:r>
      <w:bookmarkEnd w:id="21"/>
    </w:p>
    <w:p w14:paraId="00E552C2" w14:textId="6A8A04CF" w:rsidR="005536CD" w:rsidRPr="00B31D29" w:rsidRDefault="005536CD" w:rsidP="00637AD3">
      <w:pPr>
        <w:pStyle w:val="Document"/>
        <w:widowControl w:val="0"/>
        <w:rPr>
          <w:sz w:val="28"/>
        </w:rPr>
      </w:pPr>
      <w:r w:rsidRPr="00B31D29">
        <w:rPr>
          <w:sz w:val="28"/>
        </w:rPr>
        <w:t>In 2010, Google</w:t>
      </w:r>
      <w:r w:rsidR="00D34592" w:rsidRPr="00B31D29">
        <w:rPr>
          <w:sz w:val="28"/>
        </w:rPr>
        <w:t>, wishing</w:t>
      </w:r>
      <w:r w:rsidRPr="00B31D29">
        <w:rPr>
          <w:sz w:val="28"/>
        </w:rPr>
        <w:t xml:space="preserve"> </w:t>
      </w:r>
      <w:r w:rsidR="00D34592" w:rsidRPr="00B31D29">
        <w:rPr>
          <w:sz w:val="28"/>
        </w:rPr>
        <w:t xml:space="preserve">to sell text ads to candidates </w:t>
      </w:r>
      <w:r w:rsidR="00D34592" w:rsidRPr="00B31D29">
        <w:rPr>
          <w:sz w:val="28"/>
        </w:rPr>
        <w:lastRenderedPageBreak/>
        <w:t xml:space="preserve">and political committees, </w:t>
      </w:r>
      <w:r w:rsidRPr="00B31D29">
        <w:rPr>
          <w:sz w:val="28"/>
        </w:rPr>
        <w:t>submitted a request for an advisory opinion from the FEC regarding its AdWords program.</w:t>
      </w:r>
      <w:bookmarkStart w:id="22" w:name="_Ref492481637"/>
      <w:r w:rsidR="004C5AD8" w:rsidRPr="00B31D29">
        <w:rPr>
          <w:rStyle w:val="NoterefInText"/>
          <w:sz w:val="18"/>
        </w:rPr>
        <w:footnoteReference w:id="134"/>
      </w:r>
      <w:r w:rsidR="00FD0BAE" w:rsidRPr="00B31D29">
        <w:rPr>
          <w:sz w:val="28"/>
        </w:rPr>
        <w:t xml:space="preserve"> </w:t>
      </w:r>
      <w:bookmarkEnd w:id="22"/>
      <w:r w:rsidRPr="00B31D29">
        <w:rPr>
          <w:sz w:val="28"/>
        </w:rPr>
        <w:t>When a search using particular keywords is run, AdWords displays small ads near the search results. The</w:t>
      </w:r>
      <w:r w:rsidR="00CA2B34" w:rsidRPr="00B31D29">
        <w:rPr>
          <w:sz w:val="28"/>
        </w:rPr>
        <w:t>se</w:t>
      </w:r>
      <w:r w:rsidRPr="00B31D29">
        <w:rPr>
          <w:sz w:val="28"/>
        </w:rPr>
        <w:t xml:space="preserve"> advertisements </w:t>
      </w:r>
      <w:r w:rsidR="00CA2B34" w:rsidRPr="00B31D29">
        <w:rPr>
          <w:sz w:val="28"/>
        </w:rPr>
        <w:t xml:space="preserve">are </w:t>
      </w:r>
      <w:r w:rsidRPr="00B31D29">
        <w:rPr>
          <w:sz w:val="28"/>
        </w:rPr>
        <w:t xml:space="preserve">limited in size: they </w:t>
      </w:r>
      <w:r w:rsidR="00CA2B34" w:rsidRPr="00B31D29">
        <w:rPr>
          <w:sz w:val="28"/>
        </w:rPr>
        <w:t xml:space="preserve">can </w:t>
      </w:r>
      <w:r w:rsidRPr="00B31D29">
        <w:rPr>
          <w:sz w:val="28"/>
        </w:rPr>
        <w:t>only have two lines of text</w:t>
      </w:r>
      <w:r w:rsidR="00CA2B34" w:rsidRPr="00B31D29">
        <w:rPr>
          <w:sz w:val="28"/>
        </w:rPr>
        <w:t xml:space="preserve">, </w:t>
      </w:r>
      <w:r w:rsidRPr="00B31D29">
        <w:rPr>
          <w:sz w:val="28"/>
        </w:rPr>
        <w:t>with a headline of up to twenty-five characters and a URL of up to seventy characters in length.</w:t>
      </w:r>
      <w:r w:rsidRPr="00B31D29">
        <w:rPr>
          <w:rStyle w:val="NoterefInText"/>
          <w:sz w:val="18"/>
        </w:rPr>
        <w:footnoteReference w:id="135"/>
      </w:r>
      <w:r w:rsidRPr="00B31D29">
        <w:rPr>
          <w:sz w:val="28"/>
        </w:rPr>
        <w:t xml:space="preserve"> Google wanted to know whether </w:t>
      </w:r>
      <w:r w:rsidR="00CA2B34" w:rsidRPr="00B31D29">
        <w:rPr>
          <w:sz w:val="28"/>
        </w:rPr>
        <w:t xml:space="preserve">these ads were </w:t>
      </w:r>
      <w:r w:rsidRPr="00B31D29">
        <w:rPr>
          <w:sz w:val="28"/>
        </w:rPr>
        <w:t>exempt from the FEC’s disclaimer requirements under the small-items exception.</w:t>
      </w:r>
      <w:r w:rsidRPr="00B31D29">
        <w:rPr>
          <w:rStyle w:val="NoterefInText"/>
          <w:sz w:val="18"/>
        </w:rPr>
        <w:footnoteReference w:id="136"/>
      </w:r>
      <w:r w:rsidRPr="00B31D29">
        <w:rPr>
          <w:sz w:val="28"/>
        </w:rPr>
        <w:t xml:space="preserve"> If not, the company wanted to know whether including a link to the sponsor’s website, which would carry a full disclaimer, could be a satisfactory alternative.</w:t>
      </w:r>
      <w:r w:rsidRPr="00B31D29">
        <w:rPr>
          <w:rStyle w:val="NoterefInText"/>
          <w:sz w:val="18"/>
        </w:rPr>
        <w:footnoteReference w:id="137"/>
      </w:r>
      <w:r w:rsidRPr="00B31D29">
        <w:rPr>
          <w:sz w:val="28"/>
        </w:rPr>
        <w:t xml:space="preserve"> </w:t>
      </w:r>
      <w:r w:rsidR="000B7E46" w:rsidRPr="00B31D29">
        <w:rPr>
          <w:sz w:val="28"/>
        </w:rPr>
        <w:t>Although the commissioners could not obtain the four votes necessary to definitely state whether the AdWords program was exempt, i</w:t>
      </w:r>
      <w:r w:rsidRPr="00B31D29">
        <w:rPr>
          <w:sz w:val="28"/>
        </w:rPr>
        <w:t xml:space="preserve">n a vote joined by Chairman Matthew Peterson and Commissioners Cynthia Bauerly, Steven Walther, and Ellen Weintraub, the FEC ruled that the AdWords program </w:t>
      </w:r>
      <w:r w:rsidR="006C3D40" w:rsidRPr="00B31D29">
        <w:rPr>
          <w:sz w:val="28"/>
        </w:rPr>
        <w:t xml:space="preserve">did not </w:t>
      </w:r>
      <w:r w:rsidR="000B7E46" w:rsidRPr="00B31D29">
        <w:rPr>
          <w:sz w:val="28"/>
        </w:rPr>
        <w:t>violate any applicable statutes or regulations</w:t>
      </w:r>
      <w:r w:rsidR="009F549A" w:rsidRPr="00B31D29">
        <w:rPr>
          <w:sz w:val="28"/>
        </w:rPr>
        <w:t xml:space="preserve"> “under the circumstances described.”</w:t>
      </w:r>
      <w:r w:rsidRPr="00B31D29">
        <w:rPr>
          <w:rStyle w:val="NoterefInText"/>
          <w:sz w:val="18"/>
        </w:rPr>
        <w:footnoteReference w:id="138"/>
      </w:r>
      <w:r w:rsidRPr="00B31D29">
        <w:rPr>
          <w:sz w:val="28"/>
        </w:rPr>
        <w:t xml:space="preserve"> In a separate concurring opinion, Commissioners Bauerly, Walther, and Weintraub wrote that the link itself provided useful information by including some indication of the sponsoring organization’s identity.</w:t>
      </w:r>
      <w:bookmarkStart w:id="23" w:name="_Ref504796087"/>
      <w:r w:rsidRPr="00B31D29">
        <w:rPr>
          <w:rStyle w:val="NoterefInText"/>
          <w:sz w:val="18"/>
        </w:rPr>
        <w:footnoteReference w:id="139"/>
      </w:r>
      <w:bookmarkEnd w:id="23"/>
      <w:r w:rsidRPr="00B31D29">
        <w:rPr>
          <w:sz w:val="28"/>
        </w:rPr>
        <w:t xml:space="preserve"> The concurrence also noted that</w:t>
      </w:r>
      <w:r w:rsidR="00355B25" w:rsidRPr="00B31D29">
        <w:rPr>
          <w:sz w:val="28"/>
        </w:rPr>
        <w:t>,</w:t>
      </w:r>
      <w:r w:rsidRPr="00B31D29">
        <w:rPr>
          <w:sz w:val="28"/>
        </w:rPr>
        <w:t xml:space="preserve"> historically, the FEC has allowed alternate forms of disclaimers where a traditional one would be </w:t>
      </w:r>
      <w:r w:rsidR="0008430C" w:rsidRPr="00B31D29">
        <w:rPr>
          <w:sz w:val="28"/>
        </w:rPr>
        <w:t>impracticable</w:t>
      </w:r>
      <w:r w:rsidRPr="00B31D29">
        <w:rPr>
          <w:sz w:val="28"/>
        </w:rPr>
        <w:t>.</w:t>
      </w:r>
      <w:r w:rsidRPr="00B31D29">
        <w:rPr>
          <w:rStyle w:val="NoterefInText"/>
          <w:sz w:val="18"/>
        </w:rPr>
        <w:footnoteReference w:id="140"/>
      </w:r>
    </w:p>
    <w:p w14:paraId="78A49139" w14:textId="69E6DD55" w:rsidR="005536CD" w:rsidRPr="00B31D29" w:rsidRDefault="005536CD" w:rsidP="00637AD3">
      <w:pPr>
        <w:pStyle w:val="Document"/>
        <w:widowControl w:val="0"/>
        <w:rPr>
          <w:sz w:val="28"/>
        </w:rPr>
      </w:pPr>
      <w:r w:rsidRPr="00B31D29">
        <w:rPr>
          <w:sz w:val="28"/>
        </w:rPr>
        <w:t xml:space="preserve">Because an Advisory Opinion technically only applies to the party requesting it and is confined to the facts of a </w:t>
      </w:r>
      <w:r w:rsidRPr="00B31D29">
        <w:rPr>
          <w:sz w:val="28"/>
        </w:rPr>
        <w:lastRenderedPageBreak/>
        <w:t>particular situation, the FEC revisited the issue of the small-items and impracticable exceptions in 2011</w:t>
      </w:r>
      <w:r w:rsidR="00355B25" w:rsidRPr="00B31D29">
        <w:rPr>
          <w:sz w:val="28"/>
        </w:rPr>
        <w:t>,</w:t>
      </w:r>
      <w:r w:rsidRPr="00B31D29">
        <w:rPr>
          <w:sz w:val="28"/>
        </w:rPr>
        <w:t xml:space="preserve"> when Facebook requested an advisory opinion</w:t>
      </w:r>
      <w:r w:rsidR="00355B25" w:rsidRPr="00B31D29">
        <w:rPr>
          <w:sz w:val="28"/>
        </w:rPr>
        <w:t xml:space="preserve"> of its own</w:t>
      </w:r>
      <w:r w:rsidRPr="00B31D29">
        <w:rPr>
          <w:sz w:val="28"/>
        </w:rPr>
        <w:t>.</w:t>
      </w:r>
      <w:bookmarkStart w:id="24" w:name="_Ref374102721"/>
      <w:r w:rsidRPr="00B31D29">
        <w:rPr>
          <w:rStyle w:val="NoterefInText"/>
          <w:sz w:val="18"/>
        </w:rPr>
        <w:footnoteReference w:id="141"/>
      </w:r>
      <w:bookmarkEnd w:id="24"/>
      <w:r w:rsidRPr="00B31D29">
        <w:rPr>
          <w:sz w:val="28"/>
        </w:rPr>
        <w:t xml:space="preserve"> Facebook sought an exemption for its </w:t>
      </w:r>
      <w:r w:rsidR="0083105F" w:rsidRPr="00B31D29">
        <w:rPr>
          <w:sz w:val="28"/>
        </w:rPr>
        <w:t>s</w:t>
      </w:r>
      <w:r w:rsidRPr="00B31D29">
        <w:rPr>
          <w:sz w:val="28"/>
        </w:rPr>
        <w:t xml:space="preserve">tandard </w:t>
      </w:r>
      <w:r w:rsidR="0083105F" w:rsidRPr="00B31D29">
        <w:rPr>
          <w:sz w:val="28"/>
        </w:rPr>
        <w:t>a</w:t>
      </w:r>
      <w:r w:rsidRPr="00B31D29">
        <w:rPr>
          <w:sz w:val="28"/>
        </w:rPr>
        <w:t xml:space="preserve">ds and Sponsored Story ads, which </w:t>
      </w:r>
      <w:r w:rsidR="00355B25" w:rsidRPr="00B31D29">
        <w:rPr>
          <w:sz w:val="28"/>
        </w:rPr>
        <w:t xml:space="preserve">each </w:t>
      </w:r>
      <w:r w:rsidRPr="00B31D29">
        <w:rPr>
          <w:sz w:val="28"/>
        </w:rPr>
        <w:t>use under 200 characters of text and include a small image.</w:t>
      </w:r>
      <w:r w:rsidR="00E11B37" w:rsidRPr="00B31D29">
        <w:rPr>
          <w:rStyle w:val="NoterefInText"/>
          <w:sz w:val="18"/>
        </w:rPr>
        <w:footnoteReference w:id="142"/>
      </w:r>
      <w:r w:rsidRPr="00B31D29">
        <w:rPr>
          <w:sz w:val="28"/>
        </w:rPr>
        <w:t xml:space="preserve"> Some of the ads include links to either a Facebook page or an external website, but not all of the linked websites contain a disclaimer.</w:t>
      </w:r>
      <w:r w:rsidR="00925C9E" w:rsidRPr="00B31D29">
        <w:rPr>
          <w:rStyle w:val="NoterefInText"/>
          <w:sz w:val="18"/>
        </w:rPr>
        <w:footnoteReference w:id="143"/>
      </w:r>
      <w:r w:rsidRPr="00B31D29">
        <w:rPr>
          <w:sz w:val="28"/>
        </w:rPr>
        <w:t xml:space="preserve"> This time, a divided Commission was unable to agree on a response to Facebook’s request</w:t>
      </w:r>
      <w:r w:rsidR="00EA1E21" w:rsidRPr="00B31D29">
        <w:rPr>
          <w:sz w:val="28"/>
        </w:rPr>
        <w:t>,</w:t>
      </w:r>
      <w:r w:rsidRPr="00B31D29">
        <w:rPr>
          <w:sz w:val="28"/>
        </w:rPr>
        <w:t xml:space="preserve"> so no advisory opinion was issued.</w:t>
      </w:r>
      <w:bookmarkStart w:id="25" w:name="_Ref374103306"/>
      <w:r w:rsidRPr="00B31D29">
        <w:rPr>
          <w:rStyle w:val="NoterefInText"/>
          <w:sz w:val="18"/>
        </w:rPr>
        <w:footnoteReference w:id="144"/>
      </w:r>
      <w:bookmarkEnd w:id="25"/>
    </w:p>
    <w:p w14:paraId="5C64331D" w14:textId="48486D9D" w:rsidR="005536CD" w:rsidRPr="00B31D29" w:rsidRDefault="00A21ECC" w:rsidP="00637AD3">
      <w:pPr>
        <w:pStyle w:val="Document"/>
        <w:widowControl w:val="0"/>
        <w:rPr>
          <w:sz w:val="28"/>
        </w:rPr>
      </w:pPr>
      <w:r w:rsidRPr="00B31D29">
        <w:rPr>
          <w:sz w:val="28"/>
        </w:rPr>
        <w:t>A</w:t>
      </w:r>
      <w:r w:rsidR="005536CD" w:rsidRPr="00B31D29">
        <w:rPr>
          <w:sz w:val="28"/>
        </w:rPr>
        <w:t xml:space="preserve"> draft opinion</w:t>
      </w:r>
      <w:r w:rsidRPr="00B31D29">
        <w:rPr>
          <w:sz w:val="28"/>
        </w:rPr>
        <w:t xml:space="preserve"> supported by</w:t>
      </w:r>
      <w:r w:rsidR="005536CD" w:rsidRPr="00B31D29">
        <w:rPr>
          <w:sz w:val="28"/>
        </w:rPr>
        <w:t xml:space="preserve"> Commissioners Bauerly, Walther, and Weintraub </w:t>
      </w:r>
      <w:r w:rsidRPr="00B31D29">
        <w:rPr>
          <w:sz w:val="28"/>
        </w:rPr>
        <w:t xml:space="preserve">argued </w:t>
      </w:r>
      <w:r w:rsidR="005536CD" w:rsidRPr="00B31D29">
        <w:rPr>
          <w:sz w:val="28"/>
        </w:rPr>
        <w:t>that Facebook should not qualify for the small-items exception because nothing about Facebook’s platform made it “physically” or “technologically” impossible to include a disclaimer.</w:t>
      </w:r>
      <w:bookmarkStart w:id="26" w:name="_Ref374102734"/>
      <w:r w:rsidR="005536CD" w:rsidRPr="00B31D29">
        <w:rPr>
          <w:rStyle w:val="NoterefInText"/>
          <w:sz w:val="18"/>
        </w:rPr>
        <w:footnoteReference w:id="145"/>
      </w:r>
      <w:bookmarkEnd w:id="26"/>
      <w:r w:rsidR="005536CD" w:rsidRPr="00B31D29">
        <w:rPr>
          <w:sz w:val="28"/>
        </w:rPr>
        <w:t xml:space="preserve"> Facebook has the ability to make </w:t>
      </w:r>
      <w:r w:rsidR="006618A3" w:rsidRPr="00B31D29">
        <w:rPr>
          <w:sz w:val="28"/>
        </w:rPr>
        <w:t xml:space="preserve">its </w:t>
      </w:r>
      <w:r w:rsidR="005536CD" w:rsidRPr="00B31D29">
        <w:rPr>
          <w:sz w:val="28"/>
        </w:rPr>
        <w:t>ads bigger or expand the amount of permissible text to include a disclaimer even if it might not be desirable from a business perspective to do so</w:t>
      </w:r>
      <w:r w:rsidR="00432369" w:rsidRPr="00B31D29">
        <w:rPr>
          <w:sz w:val="28"/>
        </w:rPr>
        <w:t>.(F</w:t>
      </w:r>
      <w:r w:rsidR="005536CD" w:rsidRPr="00B31D29">
        <w:rPr>
          <w:sz w:val="28"/>
        </w:rPr>
        <w:t>acebook had argued that bigger ads are disruptive to its users.</w:t>
      </w:r>
      <w:r w:rsidR="00432369" w:rsidRPr="00B31D29">
        <w:rPr>
          <w:sz w:val="28"/>
        </w:rPr>
        <w:t>)</w:t>
      </w:r>
      <w:r w:rsidR="005536CD" w:rsidRPr="00B31D29">
        <w:rPr>
          <w:rStyle w:val="NoterefInText"/>
          <w:sz w:val="18"/>
        </w:rPr>
        <w:footnoteReference w:id="146"/>
      </w:r>
      <w:r w:rsidR="005536CD" w:rsidRPr="00B31D29">
        <w:rPr>
          <w:sz w:val="28"/>
        </w:rPr>
        <w:t xml:space="preserve"> Using the same line of reasoning, this draft opinion concluded that the impracticable exception should not apply to Facebook either.</w:t>
      </w:r>
      <w:r w:rsidR="005536CD" w:rsidRPr="00B31D29">
        <w:rPr>
          <w:rStyle w:val="NoterefInText"/>
          <w:sz w:val="18"/>
        </w:rPr>
        <w:footnoteReference w:id="147"/>
      </w:r>
      <w:r w:rsidR="005536CD" w:rsidRPr="00B31D29">
        <w:rPr>
          <w:sz w:val="28"/>
        </w:rPr>
        <w:t xml:space="preserve"> </w:t>
      </w:r>
      <w:r w:rsidR="00584961" w:rsidRPr="00B31D29">
        <w:rPr>
          <w:sz w:val="28"/>
        </w:rPr>
        <w:t xml:space="preserve">Although </w:t>
      </w:r>
      <w:r w:rsidR="005536CD" w:rsidRPr="00B31D29">
        <w:rPr>
          <w:sz w:val="28"/>
        </w:rPr>
        <w:t xml:space="preserve">Facebook </w:t>
      </w:r>
      <w:r w:rsidR="00AF63CF" w:rsidRPr="00B31D29">
        <w:rPr>
          <w:sz w:val="28"/>
        </w:rPr>
        <w:t xml:space="preserve">had </w:t>
      </w:r>
      <w:r w:rsidR="005536CD" w:rsidRPr="00B31D29">
        <w:rPr>
          <w:sz w:val="28"/>
        </w:rPr>
        <w:t>not propose</w:t>
      </w:r>
      <w:r w:rsidR="00AF63CF" w:rsidRPr="00B31D29">
        <w:rPr>
          <w:sz w:val="28"/>
        </w:rPr>
        <w:t>d</w:t>
      </w:r>
      <w:r w:rsidR="005536CD" w:rsidRPr="00B31D29">
        <w:rPr>
          <w:sz w:val="28"/>
        </w:rPr>
        <w:t xml:space="preserve"> any disclaimer alternatives, this opinion suggested that </w:t>
      </w:r>
      <w:r w:rsidR="00CA3974" w:rsidRPr="00B31D29">
        <w:rPr>
          <w:sz w:val="28"/>
        </w:rPr>
        <w:t xml:space="preserve">in the future </w:t>
      </w:r>
      <w:r w:rsidR="005536CD" w:rsidRPr="00B31D29">
        <w:rPr>
          <w:sz w:val="28"/>
        </w:rPr>
        <w:t xml:space="preserve">Facebook </w:t>
      </w:r>
      <w:r w:rsidR="00AF63CF" w:rsidRPr="00B31D29">
        <w:rPr>
          <w:sz w:val="28"/>
        </w:rPr>
        <w:t xml:space="preserve">might </w:t>
      </w:r>
      <w:r w:rsidR="005536CD" w:rsidRPr="00B31D29">
        <w:rPr>
          <w:sz w:val="28"/>
        </w:rPr>
        <w:t xml:space="preserve">be able to satisfy the disclaimer requirements by including a link to a full disclaimer or by providing necessary disclosure </w:t>
      </w:r>
      <w:r w:rsidR="005536CD" w:rsidRPr="00B31D29">
        <w:rPr>
          <w:sz w:val="28"/>
        </w:rPr>
        <w:lastRenderedPageBreak/>
        <w:t>information using rollover technology or other technological means.</w:t>
      </w:r>
      <w:r w:rsidR="005536CD" w:rsidRPr="00B31D29">
        <w:rPr>
          <w:rStyle w:val="NoterefInText"/>
          <w:sz w:val="18"/>
        </w:rPr>
        <w:footnoteReference w:id="148"/>
      </w:r>
      <w:r w:rsidR="005536CD" w:rsidRPr="00B31D29">
        <w:rPr>
          <w:sz w:val="28"/>
        </w:rPr>
        <w:t xml:space="preserve"> Taking the opposite position, </w:t>
      </w:r>
      <w:r w:rsidR="00AF63CF" w:rsidRPr="00B31D29">
        <w:rPr>
          <w:sz w:val="28"/>
        </w:rPr>
        <w:t xml:space="preserve">though, </w:t>
      </w:r>
      <w:r w:rsidR="005536CD" w:rsidRPr="00B31D29">
        <w:rPr>
          <w:sz w:val="28"/>
        </w:rPr>
        <w:t xml:space="preserve">Commissioners Caroline Hunter, Donald McGahn, and Matthew Peterson </w:t>
      </w:r>
      <w:r w:rsidR="00110A22" w:rsidRPr="00B31D29">
        <w:rPr>
          <w:sz w:val="28"/>
        </w:rPr>
        <w:t xml:space="preserve">supported an alternative draft opinion stating </w:t>
      </w:r>
      <w:r w:rsidR="005536CD" w:rsidRPr="00B31D29">
        <w:rPr>
          <w:sz w:val="28"/>
        </w:rPr>
        <w:t>that the impracticable exception should apply to Facebook’s ads as they are because the character limitations on the advertisements make disclaimers physically impossible.</w:t>
      </w:r>
      <w:r w:rsidR="005536CD" w:rsidRPr="00B31D29">
        <w:rPr>
          <w:rStyle w:val="NoterefInText"/>
          <w:sz w:val="18"/>
        </w:rPr>
        <w:footnoteReference w:id="149"/>
      </w:r>
      <w:r w:rsidR="005536CD" w:rsidRPr="00B31D29">
        <w:rPr>
          <w:sz w:val="28"/>
        </w:rPr>
        <w:t xml:space="preserve"> This opinion pointed out that Facebook’s ability to enlarge its ads is irrelevant because the Commission must evaluate the “entity’s existing advertising model as it is.”</w:t>
      </w:r>
      <w:r w:rsidR="005536CD" w:rsidRPr="00B31D29">
        <w:rPr>
          <w:rStyle w:val="NoterefInText"/>
          <w:sz w:val="18"/>
        </w:rPr>
        <w:footnoteReference w:id="150"/>
      </w:r>
    </w:p>
    <w:p w14:paraId="0B09CB36" w14:textId="4A824DDF" w:rsidR="005536CD" w:rsidRPr="00B31D29" w:rsidRDefault="005536CD" w:rsidP="00637AD3">
      <w:pPr>
        <w:pStyle w:val="Document"/>
        <w:widowControl w:val="0"/>
        <w:rPr>
          <w:sz w:val="28"/>
        </w:rPr>
      </w:pPr>
      <w:r w:rsidRPr="00B31D29">
        <w:rPr>
          <w:sz w:val="28"/>
        </w:rPr>
        <w:t xml:space="preserve">The Commission was again unable to reach a decision on an advisory opinion </w:t>
      </w:r>
      <w:r w:rsidR="00485590" w:rsidRPr="00B31D29">
        <w:rPr>
          <w:sz w:val="28"/>
        </w:rPr>
        <w:t xml:space="preserve">request </w:t>
      </w:r>
      <w:r w:rsidRPr="00B31D29">
        <w:rPr>
          <w:sz w:val="28"/>
        </w:rPr>
        <w:t xml:space="preserve">submitted in 2013 by Revolution Messaging, a digital strategy firm specializing in mobile communications, </w:t>
      </w:r>
      <w:r w:rsidR="00213188" w:rsidRPr="00B31D29">
        <w:rPr>
          <w:sz w:val="28"/>
        </w:rPr>
        <w:t xml:space="preserve">which sought </w:t>
      </w:r>
      <w:r w:rsidRPr="00B31D29">
        <w:rPr>
          <w:sz w:val="28"/>
        </w:rPr>
        <w:t>to know whether the small-items or impracticable exceptions applied to banner ads on mobile phones.</w:t>
      </w:r>
      <w:bookmarkStart w:id="27" w:name="_Ref374103352"/>
      <w:r w:rsidRPr="00B31D29">
        <w:rPr>
          <w:rStyle w:val="NoterefInText"/>
          <w:sz w:val="18"/>
        </w:rPr>
        <w:footnoteReference w:id="151"/>
      </w:r>
      <w:bookmarkEnd w:id="27"/>
      <w:r w:rsidRPr="00B31D29">
        <w:rPr>
          <w:sz w:val="28"/>
        </w:rPr>
        <w:t xml:space="preserve"> Revolution Messaging argued that including too much content in a mobile banner ad is not possible without producing blurry</w:t>
      </w:r>
      <w:r w:rsidR="00696C6F" w:rsidRPr="00B31D29">
        <w:rPr>
          <w:sz w:val="28"/>
        </w:rPr>
        <w:t xml:space="preserve">, </w:t>
      </w:r>
      <w:r w:rsidRPr="00B31D29">
        <w:rPr>
          <w:sz w:val="28"/>
        </w:rPr>
        <w:t>low</w:t>
      </w:r>
      <w:r w:rsidR="00696C6F" w:rsidRPr="00B31D29">
        <w:rPr>
          <w:sz w:val="28"/>
        </w:rPr>
        <w:t>-</w:t>
      </w:r>
      <w:r w:rsidRPr="00B31D29">
        <w:rPr>
          <w:sz w:val="28"/>
        </w:rPr>
        <w:t>quality ads</w:t>
      </w:r>
      <w:r w:rsidR="00696C6F" w:rsidRPr="00B31D29">
        <w:rPr>
          <w:sz w:val="28"/>
        </w:rPr>
        <w:t>,</w:t>
      </w:r>
      <w:r w:rsidR="00CD73CD" w:rsidRPr="00B31D29">
        <w:rPr>
          <w:sz w:val="28"/>
        </w:rPr>
        <w:t xml:space="preserve"> given </w:t>
      </w:r>
      <w:r w:rsidR="00696C6F" w:rsidRPr="00B31D29">
        <w:rPr>
          <w:sz w:val="28"/>
        </w:rPr>
        <w:t xml:space="preserve">the </w:t>
      </w:r>
      <w:r w:rsidR="00CD73CD" w:rsidRPr="00B31D29">
        <w:rPr>
          <w:sz w:val="28"/>
        </w:rPr>
        <w:t>pixel limitations established by the Interactive Advertising Bureau</w:t>
      </w:r>
      <w:r w:rsidRPr="00B31D29">
        <w:rPr>
          <w:sz w:val="28"/>
        </w:rPr>
        <w:t>.</w:t>
      </w:r>
      <w:bookmarkStart w:id="28" w:name="_Ref504759047"/>
      <w:r w:rsidRPr="00B31D29">
        <w:rPr>
          <w:rStyle w:val="NoterefInText"/>
          <w:sz w:val="18"/>
        </w:rPr>
        <w:footnoteReference w:id="152"/>
      </w:r>
      <w:bookmarkEnd w:id="28"/>
      <w:r w:rsidRPr="00B31D29">
        <w:rPr>
          <w:sz w:val="28"/>
        </w:rPr>
        <w:t xml:space="preserve"> Although some </w:t>
      </w:r>
      <w:r w:rsidR="00696C6F" w:rsidRPr="00B31D29">
        <w:rPr>
          <w:sz w:val="28"/>
        </w:rPr>
        <w:t>mobile</w:t>
      </w:r>
      <w:r w:rsidRPr="00B31D29">
        <w:rPr>
          <w:sz w:val="28"/>
        </w:rPr>
        <w:t xml:space="preserve"> banners would have links to webpages with disclaimers, others would not.</w:t>
      </w:r>
      <w:r w:rsidRPr="00B31D29">
        <w:rPr>
          <w:rStyle w:val="NoterefInText"/>
          <w:sz w:val="18"/>
        </w:rPr>
        <w:footnoteReference w:id="153"/>
      </w:r>
      <w:r w:rsidRPr="00B31D29">
        <w:rPr>
          <w:sz w:val="28"/>
        </w:rPr>
        <w:t xml:space="preserve"> Ads that did not link to a full disclaimer would contain identifying information in the </w:t>
      </w:r>
      <w:r w:rsidRPr="00B31D29">
        <w:rPr>
          <w:sz w:val="28"/>
        </w:rPr>
        <w:lastRenderedPageBreak/>
        <w:t>advertisement itself</w:t>
      </w:r>
      <w:r w:rsidR="00696C6F" w:rsidRPr="00B31D29">
        <w:rPr>
          <w:sz w:val="28"/>
        </w:rPr>
        <w:t>,</w:t>
      </w:r>
      <w:r w:rsidRPr="00B31D29">
        <w:rPr>
          <w:sz w:val="28"/>
        </w:rPr>
        <w:t xml:space="preserve"> such as the name or the logo of the sponsoring committee.</w:t>
      </w:r>
      <w:r w:rsidRPr="00B31D29">
        <w:rPr>
          <w:rStyle w:val="NoterefInText"/>
          <w:sz w:val="18"/>
        </w:rPr>
        <w:footnoteReference w:id="154"/>
      </w:r>
      <w:r w:rsidRPr="00B31D29">
        <w:rPr>
          <w:sz w:val="28"/>
        </w:rPr>
        <w:t xml:space="preserve"> As before, half of the Commissioners, including Goodman, Hunter, and Peterson</w:t>
      </w:r>
      <w:r w:rsidR="0048578D" w:rsidRPr="00B31D29">
        <w:rPr>
          <w:sz w:val="28"/>
        </w:rPr>
        <w:t>,</w:t>
      </w:r>
      <w:r w:rsidRPr="00B31D29">
        <w:rPr>
          <w:sz w:val="28"/>
        </w:rPr>
        <w:t xml:space="preserve"> believed that the banner ads should be exempt from the disclaimer requirement.</w:t>
      </w:r>
      <w:r w:rsidRPr="00B31D29">
        <w:rPr>
          <w:rStyle w:val="NoterefInText"/>
          <w:sz w:val="18"/>
        </w:rPr>
        <w:footnoteReference w:id="155"/>
      </w:r>
      <w:r w:rsidRPr="00B31D29">
        <w:rPr>
          <w:sz w:val="28"/>
        </w:rPr>
        <w:t xml:space="preserve"> But others, including Walther, Weintraub</w:t>
      </w:r>
      <w:r w:rsidR="007A79D0" w:rsidRPr="00B31D29">
        <w:rPr>
          <w:sz w:val="28"/>
        </w:rPr>
        <w:t>,</w:t>
      </w:r>
      <w:r w:rsidRPr="00B31D29">
        <w:rPr>
          <w:sz w:val="28"/>
        </w:rPr>
        <w:t xml:space="preserve"> </w:t>
      </w:r>
      <w:r w:rsidR="00696C6F" w:rsidRPr="00B31D29">
        <w:rPr>
          <w:sz w:val="28"/>
        </w:rPr>
        <w:t xml:space="preserve">and Ann Ravel, </w:t>
      </w:r>
      <w:r w:rsidRPr="00B31D29">
        <w:rPr>
          <w:sz w:val="28"/>
        </w:rPr>
        <w:t xml:space="preserve">argued that as long as Revolution Messaging was physically and technologically capable of adjusting the size of </w:t>
      </w:r>
      <w:r w:rsidR="00783B54" w:rsidRPr="00B31D29">
        <w:rPr>
          <w:sz w:val="28"/>
        </w:rPr>
        <w:t xml:space="preserve">its </w:t>
      </w:r>
      <w:r w:rsidRPr="00B31D29">
        <w:rPr>
          <w:sz w:val="28"/>
        </w:rPr>
        <w:t>ads, no exception should apply.</w:t>
      </w:r>
      <w:r w:rsidRPr="00B31D29">
        <w:rPr>
          <w:rStyle w:val="NoterefInText"/>
          <w:sz w:val="18"/>
        </w:rPr>
        <w:footnoteReference w:id="156"/>
      </w:r>
      <w:r w:rsidRPr="00B31D29">
        <w:rPr>
          <w:sz w:val="28"/>
        </w:rPr>
        <w:t xml:space="preserve"> Their draft opinion also added that while the FEC is willing to approve alternate forms of disclaimers, </w:t>
      </w:r>
      <w:r w:rsidR="006F2E38" w:rsidRPr="00B31D29">
        <w:rPr>
          <w:sz w:val="28"/>
        </w:rPr>
        <w:t xml:space="preserve">Revolution’s </w:t>
      </w:r>
      <w:r w:rsidRPr="00B31D29">
        <w:rPr>
          <w:sz w:val="28"/>
        </w:rPr>
        <w:t>proposals to include the name or logo of the sponsor did not provide “</w:t>
      </w:r>
      <w:r w:rsidR="00084D58" w:rsidRPr="00B31D29">
        <w:rPr>
          <w:sz w:val="28"/>
        </w:rPr>
        <w:t>‘</w:t>
      </w:r>
      <w:r w:rsidRPr="00B31D29">
        <w:rPr>
          <w:sz w:val="28"/>
        </w:rPr>
        <w:t>adequate notice of the identity of the person or political committee that paid for and</w:t>
      </w:r>
      <w:r w:rsidR="00084D58" w:rsidRPr="00B31D29">
        <w:rPr>
          <w:sz w:val="28"/>
        </w:rPr>
        <w:t>,</w:t>
      </w:r>
      <w:r w:rsidRPr="00B31D29">
        <w:rPr>
          <w:sz w:val="28"/>
        </w:rPr>
        <w:t xml:space="preserve"> where required, authorized the communication.</w:t>
      </w:r>
      <w:r w:rsidR="00084D58" w:rsidRPr="00B31D29">
        <w:rPr>
          <w:sz w:val="28"/>
        </w:rPr>
        <w:t>’</w:t>
      </w:r>
      <w:r w:rsidRPr="00B31D29">
        <w:rPr>
          <w:sz w:val="28"/>
        </w:rPr>
        <w:t>”</w:t>
      </w:r>
      <w:r w:rsidRPr="00B31D29">
        <w:rPr>
          <w:rStyle w:val="NoterefInText"/>
          <w:sz w:val="18"/>
        </w:rPr>
        <w:footnoteReference w:id="157"/>
      </w:r>
    </w:p>
    <w:p w14:paraId="11C58AC5" w14:textId="1017C23F" w:rsidR="005536CD" w:rsidRPr="00B31D29" w:rsidRDefault="005536CD" w:rsidP="00BA13DF">
      <w:pPr>
        <w:pStyle w:val="SubHead2"/>
        <w:outlineLvl w:val="1"/>
        <w:rPr>
          <w:sz w:val="28"/>
        </w:rPr>
      </w:pPr>
      <w:bookmarkStart w:id="29" w:name="_Toc504798759"/>
      <w:r w:rsidRPr="00B31D29">
        <w:rPr>
          <w:sz w:val="28"/>
        </w:rPr>
        <w:t>C.  States Grapple with Loopholes</w:t>
      </w:r>
      <w:bookmarkEnd w:id="29"/>
    </w:p>
    <w:p w14:paraId="62696B3A" w14:textId="01524DD1" w:rsidR="005536CD" w:rsidRPr="00B31D29" w:rsidRDefault="005536CD" w:rsidP="00637AD3">
      <w:pPr>
        <w:pStyle w:val="Document"/>
        <w:widowControl w:val="0"/>
        <w:rPr>
          <w:sz w:val="28"/>
        </w:rPr>
      </w:pPr>
      <w:r w:rsidRPr="00B31D29">
        <w:rPr>
          <w:sz w:val="28"/>
        </w:rPr>
        <w:t>Although the FEC has had trouble identifying the best way to approach the small-items and impracticable exceptions when it comes to Internet advertising, some states</w:t>
      </w:r>
      <w:r w:rsidR="009C3E1C" w:rsidRPr="00B31D29">
        <w:rPr>
          <w:sz w:val="28"/>
        </w:rPr>
        <w:t>,</w:t>
      </w:r>
      <w:r w:rsidRPr="00B31D29">
        <w:rPr>
          <w:sz w:val="28"/>
        </w:rPr>
        <w:t xml:space="preserve"> </w:t>
      </w:r>
      <w:r w:rsidR="009C3E1C" w:rsidRPr="00B31D29">
        <w:rPr>
          <w:sz w:val="28"/>
        </w:rPr>
        <w:t xml:space="preserve">including Texas, Florida, Maryland, and California, </w:t>
      </w:r>
      <w:r w:rsidRPr="00B31D29">
        <w:rPr>
          <w:sz w:val="28"/>
        </w:rPr>
        <w:t>have had more success in creating guidelines.</w:t>
      </w:r>
    </w:p>
    <w:p w14:paraId="01436ABD" w14:textId="112F0388" w:rsidR="005536CD" w:rsidRPr="00B31D29" w:rsidRDefault="005536CD" w:rsidP="00637AD3">
      <w:pPr>
        <w:pStyle w:val="Document"/>
        <w:widowControl w:val="0"/>
        <w:rPr>
          <w:sz w:val="28"/>
        </w:rPr>
      </w:pPr>
      <w:r w:rsidRPr="00B31D29">
        <w:rPr>
          <w:sz w:val="28"/>
        </w:rPr>
        <w:t>In 201</w:t>
      </w:r>
      <w:r w:rsidR="00585351" w:rsidRPr="00B31D29">
        <w:rPr>
          <w:sz w:val="28"/>
        </w:rPr>
        <w:t>2</w:t>
      </w:r>
      <w:r w:rsidRPr="00B31D29">
        <w:rPr>
          <w:sz w:val="28"/>
        </w:rPr>
        <w:t>, the Texas Ethics Commission</w:t>
      </w:r>
      <w:r w:rsidR="00717BA5" w:rsidRPr="00B31D29">
        <w:rPr>
          <w:sz w:val="28"/>
        </w:rPr>
        <w:t xml:space="preserve"> </w:t>
      </w:r>
      <w:r w:rsidRPr="00B31D29">
        <w:rPr>
          <w:sz w:val="28"/>
        </w:rPr>
        <w:t>issued an advisory opinion to a political committee, stating that ads appear</w:t>
      </w:r>
      <w:r w:rsidR="00854AF9" w:rsidRPr="00B31D29">
        <w:rPr>
          <w:sz w:val="28"/>
        </w:rPr>
        <w:t>ing</w:t>
      </w:r>
      <w:r w:rsidRPr="00B31D29">
        <w:rPr>
          <w:sz w:val="28"/>
        </w:rPr>
        <w:t xml:space="preserve"> on social networking websites, which limit the amount of text that can be used in the ad, do not have to include a </w:t>
      </w:r>
      <w:r w:rsidR="00337CBD" w:rsidRPr="00B31D29">
        <w:rPr>
          <w:sz w:val="28"/>
        </w:rPr>
        <w:t xml:space="preserve">full, </w:t>
      </w:r>
      <w:r w:rsidRPr="00B31D29">
        <w:rPr>
          <w:sz w:val="28"/>
        </w:rPr>
        <w:t>embedded disclaimer.</w:t>
      </w:r>
      <w:bookmarkStart w:id="30" w:name="_Ref378000344"/>
      <w:r w:rsidRPr="00B31D29">
        <w:rPr>
          <w:rStyle w:val="NoterefInText"/>
          <w:sz w:val="18"/>
        </w:rPr>
        <w:footnoteReference w:id="158"/>
      </w:r>
      <w:bookmarkEnd w:id="30"/>
      <w:r w:rsidRPr="00B31D29">
        <w:rPr>
          <w:sz w:val="28"/>
        </w:rPr>
        <w:t xml:space="preserve"> Nevertheless, these </w:t>
      </w:r>
      <w:r w:rsidRPr="00B31D29">
        <w:rPr>
          <w:sz w:val="28"/>
        </w:rPr>
        <w:lastRenderedPageBreak/>
        <w:t>ads must link to a landing page that contains the entire disclosure statement required by the Texas Election Code.</w:t>
      </w:r>
      <w:r w:rsidRPr="00B31D29">
        <w:rPr>
          <w:rStyle w:val="NoterefInText"/>
          <w:sz w:val="18"/>
        </w:rPr>
        <w:footnoteReference w:id="159"/>
      </w:r>
      <w:r w:rsidRPr="00B31D29">
        <w:rPr>
          <w:sz w:val="28"/>
        </w:rPr>
        <w:t xml:space="preserve"> </w:t>
      </w:r>
      <w:r w:rsidR="00851474" w:rsidRPr="00B31D29">
        <w:rPr>
          <w:sz w:val="28"/>
        </w:rPr>
        <w:t>T</w:t>
      </w:r>
      <w:r w:rsidRPr="00B31D29">
        <w:rPr>
          <w:sz w:val="28"/>
        </w:rPr>
        <w:t xml:space="preserve">he link </w:t>
      </w:r>
      <w:r w:rsidR="00851474" w:rsidRPr="00B31D29">
        <w:rPr>
          <w:sz w:val="28"/>
        </w:rPr>
        <w:t xml:space="preserve">itself </w:t>
      </w:r>
      <w:r w:rsidRPr="00B31D29">
        <w:rPr>
          <w:sz w:val="28"/>
        </w:rPr>
        <w:t>must contain the words “political advertising,” “pol ad,” or another easily identifiable abbreviation.</w:t>
      </w:r>
      <w:r w:rsidRPr="00B31D29">
        <w:rPr>
          <w:rStyle w:val="NoterefInText"/>
          <w:sz w:val="18"/>
        </w:rPr>
        <w:footnoteReference w:id="160"/>
      </w:r>
      <w:r w:rsidRPr="00B31D29">
        <w:rPr>
          <w:sz w:val="28"/>
        </w:rPr>
        <w:t xml:space="preserve"> The Ethics Commission explained that restrictions on the websites make full-size disclaimers </w:t>
      </w:r>
      <w:r w:rsidR="0008430C" w:rsidRPr="00B31D29">
        <w:rPr>
          <w:sz w:val="28"/>
        </w:rPr>
        <w:t>impracticable</w:t>
      </w:r>
      <w:r w:rsidR="007A6DA6" w:rsidRPr="00B31D29">
        <w:rPr>
          <w:sz w:val="28"/>
        </w:rPr>
        <w:t>,</w:t>
      </w:r>
      <w:r w:rsidRPr="00B31D29">
        <w:rPr>
          <w:sz w:val="28"/>
        </w:rPr>
        <w:t xml:space="preserve"> and it wished to interpret the laws with a focus on “reasonableness and practicality</w:t>
      </w:r>
      <w:r w:rsidR="00A910F9" w:rsidRPr="00B31D29">
        <w:rPr>
          <w:sz w:val="28"/>
        </w:rPr>
        <w:t>,</w:t>
      </w:r>
      <w:r w:rsidRPr="00B31D29">
        <w:rPr>
          <w:sz w:val="28"/>
        </w:rPr>
        <w:t>” given technological advances.</w:t>
      </w:r>
      <w:bookmarkStart w:id="31" w:name="_Ref504797220"/>
      <w:r w:rsidRPr="00B31D29">
        <w:rPr>
          <w:rStyle w:val="NoterefInText"/>
          <w:sz w:val="18"/>
        </w:rPr>
        <w:footnoteReference w:id="161"/>
      </w:r>
      <w:bookmarkEnd w:id="31"/>
      <w:r w:rsidRPr="00B31D29">
        <w:rPr>
          <w:sz w:val="28"/>
        </w:rPr>
        <w:t xml:space="preserve"> Florida takes a similar approach</w:t>
      </w:r>
      <w:r w:rsidR="00A910F9" w:rsidRPr="00B31D29">
        <w:rPr>
          <w:sz w:val="28"/>
        </w:rPr>
        <w:t>,</w:t>
      </w:r>
      <w:r w:rsidRPr="00B31D29">
        <w:rPr>
          <w:sz w:val="28"/>
        </w:rPr>
        <w:t xml:space="preserve"> allow</w:t>
      </w:r>
      <w:r w:rsidR="00A910F9" w:rsidRPr="00B31D29">
        <w:rPr>
          <w:sz w:val="28"/>
        </w:rPr>
        <w:t>ing</w:t>
      </w:r>
      <w:r w:rsidRPr="00B31D29">
        <w:rPr>
          <w:sz w:val="28"/>
        </w:rPr>
        <w:t xml:space="preserve"> political ads to forego disclaimers when they would not be “reasonably practical due to the size of the graphic or picture link,” provided that the link directs users to a website that contains a disclaimer identifying who paid for or approved the ad.</w:t>
      </w:r>
      <w:r w:rsidRPr="00B31D29">
        <w:rPr>
          <w:rStyle w:val="NoterefInText"/>
          <w:sz w:val="18"/>
        </w:rPr>
        <w:footnoteReference w:id="162"/>
      </w:r>
      <w:r w:rsidRPr="00B31D29">
        <w:rPr>
          <w:sz w:val="28"/>
        </w:rPr>
        <w:t xml:space="preserve"> Nevertheless, Florida also seems amenable to excusing disclaimer requirements entirely in certain instances where a political ad is distributed through “any other technology-related item, service, or device for which compliance with [disclaimer requirements] is not reasonably practical.”</w:t>
      </w:r>
      <w:bookmarkStart w:id="32" w:name="_Ref504797223"/>
      <w:r w:rsidRPr="00B31D29">
        <w:rPr>
          <w:rStyle w:val="NoterefInText"/>
          <w:sz w:val="18"/>
        </w:rPr>
        <w:footnoteReference w:id="163"/>
      </w:r>
      <w:bookmarkEnd w:id="32"/>
      <w:r w:rsidRPr="00B31D29">
        <w:rPr>
          <w:sz w:val="28"/>
        </w:rPr>
        <w:t xml:space="preserve"> In Maryland, ads that are too small to carry a disclaimer must also include a link to another website.</w:t>
      </w:r>
      <w:r w:rsidRPr="00B31D29">
        <w:rPr>
          <w:rStyle w:val="NoterefInText"/>
          <w:sz w:val="18"/>
        </w:rPr>
        <w:footnoteReference w:id="164"/>
      </w:r>
      <w:r w:rsidRPr="00B31D29">
        <w:rPr>
          <w:sz w:val="28"/>
        </w:rPr>
        <w:t xml:space="preserve"> If it is not possible to include a link, the ad and information about who sponsored or approved it must be registered with the State Board.</w:t>
      </w:r>
      <w:r w:rsidRPr="00B31D29">
        <w:rPr>
          <w:rStyle w:val="NoterefInText"/>
          <w:sz w:val="18"/>
        </w:rPr>
        <w:footnoteReference w:id="165"/>
      </w:r>
      <w:r w:rsidRPr="00B31D29">
        <w:rPr>
          <w:sz w:val="28"/>
        </w:rPr>
        <w:t xml:space="preserve"> Items that </w:t>
      </w:r>
      <w:r w:rsidR="00A910F9" w:rsidRPr="00B31D29">
        <w:rPr>
          <w:sz w:val="28"/>
        </w:rPr>
        <w:t xml:space="preserve">Maryland </w:t>
      </w:r>
      <w:r w:rsidRPr="00B31D29">
        <w:rPr>
          <w:sz w:val="28"/>
        </w:rPr>
        <w:t>consider</w:t>
      </w:r>
      <w:r w:rsidR="00A910F9" w:rsidRPr="00B31D29">
        <w:rPr>
          <w:sz w:val="28"/>
        </w:rPr>
        <w:t>s</w:t>
      </w:r>
      <w:r w:rsidRPr="00B31D29">
        <w:rPr>
          <w:sz w:val="28"/>
        </w:rPr>
        <w:t xml:space="preserve"> too small to include a disclaimer </w:t>
      </w:r>
      <w:r w:rsidR="00A910F9" w:rsidRPr="00B31D29">
        <w:rPr>
          <w:sz w:val="28"/>
        </w:rPr>
        <w:t>on</w:t>
      </w:r>
      <w:r w:rsidRPr="00B31D29">
        <w:rPr>
          <w:sz w:val="28"/>
        </w:rPr>
        <w:t xml:space="preserve"> include micro</w:t>
      </w:r>
      <w:r w:rsidR="00E450CF" w:rsidRPr="00B31D29">
        <w:rPr>
          <w:sz w:val="28"/>
        </w:rPr>
        <w:t xml:space="preserve"> </w:t>
      </w:r>
      <w:r w:rsidRPr="00B31D29">
        <w:rPr>
          <w:sz w:val="28"/>
        </w:rPr>
        <w:t xml:space="preserve">bars, button ads, </w:t>
      </w:r>
      <w:r w:rsidR="00A840D1" w:rsidRPr="00B31D29">
        <w:rPr>
          <w:sz w:val="28"/>
        </w:rPr>
        <w:t xml:space="preserve">paid </w:t>
      </w:r>
      <w:r w:rsidRPr="00B31D29">
        <w:rPr>
          <w:sz w:val="28"/>
        </w:rPr>
        <w:t xml:space="preserve">text ads with fewer than 200 characters, and small </w:t>
      </w:r>
      <w:r w:rsidR="00A840D1" w:rsidRPr="00B31D29">
        <w:rPr>
          <w:sz w:val="28"/>
        </w:rPr>
        <w:t xml:space="preserve">paid </w:t>
      </w:r>
      <w:r w:rsidRPr="00B31D29">
        <w:rPr>
          <w:sz w:val="28"/>
        </w:rPr>
        <w:t>graphic or picture links.</w:t>
      </w:r>
      <w:bookmarkStart w:id="33" w:name="_Ref504797074"/>
      <w:r w:rsidRPr="00B31D29">
        <w:rPr>
          <w:rStyle w:val="NoterefInText"/>
          <w:sz w:val="18"/>
        </w:rPr>
        <w:footnoteReference w:id="166"/>
      </w:r>
      <w:bookmarkEnd w:id="33"/>
    </w:p>
    <w:p w14:paraId="12627FE6" w14:textId="368B2F52" w:rsidR="005536CD" w:rsidRPr="00B31D29" w:rsidRDefault="005536CD" w:rsidP="00637AD3">
      <w:pPr>
        <w:pStyle w:val="Document"/>
        <w:widowControl w:val="0"/>
        <w:rPr>
          <w:sz w:val="28"/>
        </w:rPr>
      </w:pPr>
      <w:r w:rsidRPr="00B31D29">
        <w:rPr>
          <w:sz w:val="28"/>
        </w:rPr>
        <w:t xml:space="preserve">California has taken a slightly more flexible approach </w:t>
      </w:r>
      <w:r w:rsidRPr="00B31D29">
        <w:rPr>
          <w:sz w:val="28"/>
        </w:rPr>
        <w:lastRenderedPageBreak/>
        <w:t>than the states discussed above. The California Fair Political Practices Commission</w:t>
      </w:r>
      <w:r w:rsidR="00E450CF" w:rsidRPr="00B31D29">
        <w:rPr>
          <w:sz w:val="28"/>
        </w:rPr>
        <w:t xml:space="preserve"> </w:t>
      </w:r>
      <w:r w:rsidRPr="00B31D29">
        <w:rPr>
          <w:sz w:val="28"/>
        </w:rPr>
        <w:t>specified in 2011 that Internet ads that are “limited in size” such as “</w:t>
      </w:r>
      <w:r w:rsidR="007D2BA7" w:rsidRPr="00B31D29">
        <w:rPr>
          <w:sz w:val="28"/>
        </w:rPr>
        <w:t xml:space="preserve">a </w:t>
      </w:r>
      <w:r w:rsidRPr="00B31D29">
        <w:rPr>
          <w:sz w:val="28"/>
        </w:rPr>
        <w:t>micro bar, a button ad, a paid text advertisement that is limited to 500 characters or less in length, or a small paid graphic or picture link” must display the disclaimer as a rollover, a link to another website that contains the disclaimer</w:t>
      </w:r>
      <w:r w:rsidR="00AE25AE" w:rsidRPr="00B31D29">
        <w:rPr>
          <w:sz w:val="28"/>
        </w:rPr>
        <w:t>,</w:t>
      </w:r>
      <w:r w:rsidRPr="00B31D29">
        <w:rPr>
          <w:sz w:val="28"/>
        </w:rPr>
        <w:t xml:space="preserve"> or “other technological means that provide the user with disclosure information.”</w:t>
      </w:r>
      <w:bookmarkStart w:id="34" w:name="_Ref504797225"/>
      <w:r w:rsidRPr="00B31D29">
        <w:rPr>
          <w:rStyle w:val="NoterefInText"/>
          <w:sz w:val="18"/>
        </w:rPr>
        <w:footnoteReference w:id="167"/>
      </w:r>
      <w:bookmarkEnd w:id="34"/>
      <w:r w:rsidRPr="00B31D29">
        <w:rPr>
          <w:sz w:val="28"/>
        </w:rPr>
        <w:t xml:space="preserve"> Given the broad language of this provision, this solution is detailed enough to give specific guidance yet expansive enough to allow advertisers to take advantage of technological innovations</w:t>
      </w:r>
      <w:r w:rsidR="00717BA5" w:rsidRPr="00B31D29">
        <w:rPr>
          <w:sz w:val="28"/>
        </w:rPr>
        <w:t xml:space="preserve">, </w:t>
      </w:r>
      <w:r w:rsidRPr="00B31D29">
        <w:rPr>
          <w:sz w:val="28"/>
        </w:rPr>
        <w:t>while still providing voters with relevant disclosure</w:t>
      </w:r>
      <w:r w:rsidR="00E450CF" w:rsidRPr="00B31D29">
        <w:rPr>
          <w:sz w:val="28"/>
        </w:rPr>
        <w:t>s</w:t>
      </w:r>
      <w:r w:rsidRPr="00B31D29">
        <w:rPr>
          <w:sz w:val="28"/>
        </w:rPr>
        <w:t>.</w:t>
      </w:r>
    </w:p>
    <w:p w14:paraId="67D1469D" w14:textId="7A4ADEBE" w:rsidR="005536CD" w:rsidRPr="00B31D29" w:rsidRDefault="005536CD" w:rsidP="00637AD3">
      <w:pPr>
        <w:pStyle w:val="Document"/>
        <w:widowControl w:val="0"/>
        <w:rPr>
          <w:sz w:val="28"/>
        </w:rPr>
      </w:pPr>
      <w:r w:rsidRPr="00B31D29">
        <w:rPr>
          <w:sz w:val="28"/>
        </w:rPr>
        <w:t>Former FEC Chair</w:t>
      </w:r>
      <w:r w:rsidR="005522C5" w:rsidRPr="00B31D29">
        <w:rPr>
          <w:sz w:val="28"/>
        </w:rPr>
        <w:t xml:space="preserve"> </w:t>
      </w:r>
      <w:r w:rsidRPr="00B31D29">
        <w:rPr>
          <w:sz w:val="28"/>
        </w:rPr>
        <w:t>Cynthia Bauerly suggests that the FEC could look to states like California and Maryland for guidance in crafting not just advisory opinions but rules addressing how disclaimers should be treated in the Internet age.</w:t>
      </w:r>
      <w:bookmarkStart w:id="35" w:name="_Ref504797228"/>
      <w:r w:rsidRPr="00B31D29">
        <w:rPr>
          <w:rStyle w:val="NoterefInText"/>
          <w:sz w:val="18"/>
        </w:rPr>
        <w:footnoteReference w:id="168"/>
      </w:r>
      <w:bookmarkEnd w:id="35"/>
      <w:r w:rsidRPr="00B31D29">
        <w:rPr>
          <w:sz w:val="28"/>
        </w:rPr>
        <w:t xml:space="preserve"> Bauerly believes that a rulemaking would provide broader guidance than advisory opinion</w:t>
      </w:r>
      <w:r w:rsidR="00E450CF" w:rsidRPr="00B31D29">
        <w:rPr>
          <w:sz w:val="28"/>
        </w:rPr>
        <w:t>s</w:t>
      </w:r>
      <w:r w:rsidRPr="00B31D29">
        <w:rPr>
          <w:sz w:val="28"/>
        </w:rPr>
        <w:t xml:space="preserve">, which </w:t>
      </w:r>
      <w:r w:rsidR="00E450CF" w:rsidRPr="00B31D29">
        <w:rPr>
          <w:sz w:val="28"/>
        </w:rPr>
        <w:t xml:space="preserve">are </w:t>
      </w:r>
      <w:r w:rsidRPr="00B31D29">
        <w:rPr>
          <w:sz w:val="28"/>
        </w:rPr>
        <w:t>confined to the particular facts at issue in a given case.</w:t>
      </w:r>
      <w:r w:rsidRPr="00B31D29">
        <w:rPr>
          <w:rStyle w:val="NoterefInText"/>
          <w:sz w:val="18"/>
        </w:rPr>
        <w:footnoteReference w:id="169"/>
      </w:r>
      <w:r w:rsidRPr="00B31D29">
        <w:rPr>
          <w:sz w:val="28"/>
        </w:rPr>
        <w:t xml:space="preserve"> Yet the Commission seems hesitant to respond in a concrete way. In October 2011, the FEC opened comments on whether to move forward with rulemaking to update some of the current disclaimer rules for Internet advertising, including the small-items and impracticable exceptions. Despite this encouraging sign, the Commission took little action until </w:t>
      </w:r>
      <w:r w:rsidR="000F023F" w:rsidRPr="00B31D29">
        <w:rPr>
          <w:sz w:val="28"/>
        </w:rPr>
        <w:t xml:space="preserve">it reopened the comment period on the issue in October 2016 and </w:t>
      </w:r>
      <w:r w:rsidR="0013140E" w:rsidRPr="00B31D29">
        <w:rPr>
          <w:sz w:val="28"/>
        </w:rPr>
        <w:t xml:space="preserve">then </w:t>
      </w:r>
      <w:r w:rsidR="000F023F" w:rsidRPr="00B31D29">
        <w:rPr>
          <w:sz w:val="28"/>
        </w:rPr>
        <w:t>again in October 2017</w:t>
      </w:r>
      <w:r w:rsidR="002C4E3F" w:rsidRPr="00B31D29">
        <w:rPr>
          <w:sz w:val="28"/>
        </w:rPr>
        <w:t>.</w:t>
      </w:r>
      <w:r w:rsidRPr="00B31D29">
        <w:rPr>
          <w:rStyle w:val="NoterefInText"/>
          <w:sz w:val="18"/>
        </w:rPr>
        <w:footnoteReference w:id="170"/>
      </w:r>
      <w:r w:rsidR="000F023F" w:rsidRPr="00B31D29">
        <w:rPr>
          <w:sz w:val="28"/>
        </w:rPr>
        <w:t xml:space="preserve"> </w:t>
      </w:r>
      <w:r w:rsidRPr="00B31D29">
        <w:rPr>
          <w:sz w:val="28"/>
        </w:rPr>
        <w:t>Hopefully</w:t>
      </w:r>
      <w:r w:rsidR="007E4A1F" w:rsidRPr="00B31D29">
        <w:rPr>
          <w:sz w:val="28"/>
        </w:rPr>
        <w:t>,</w:t>
      </w:r>
      <w:r w:rsidRPr="00B31D29">
        <w:rPr>
          <w:sz w:val="28"/>
        </w:rPr>
        <w:t xml:space="preserve"> the</w:t>
      </w:r>
      <w:r w:rsidR="007E4A1F" w:rsidRPr="00B31D29">
        <w:rPr>
          <w:sz w:val="28"/>
        </w:rPr>
        <w:t>se</w:t>
      </w:r>
      <w:r w:rsidRPr="00B31D29">
        <w:rPr>
          <w:sz w:val="28"/>
        </w:rPr>
        <w:t xml:space="preserve"> </w:t>
      </w:r>
      <w:r w:rsidR="000F023F" w:rsidRPr="00B31D29">
        <w:rPr>
          <w:sz w:val="28"/>
        </w:rPr>
        <w:t xml:space="preserve">continued </w:t>
      </w:r>
      <w:r w:rsidRPr="00B31D29">
        <w:rPr>
          <w:sz w:val="28"/>
        </w:rPr>
        <w:t>delay</w:t>
      </w:r>
      <w:r w:rsidR="000F023F" w:rsidRPr="00B31D29">
        <w:rPr>
          <w:sz w:val="28"/>
        </w:rPr>
        <w:t>s</w:t>
      </w:r>
      <w:r w:rsidRPr="00B31D29">
        <w:rPr>
          <w:sz w:val="28"/>
        </w:rPr>
        <w:t xml:space="preserve"> </w:t>
      </w:r>
      <w:r w:rsidR="000F023F" w:rsidRPr="00B31D29">
        <w:rPr>
          <w:sz w:val="28"/>
        </w:rPr>
        <w:t xml:space="preserve">are </w:t>
      </w:r>
      <w:r w:rsidRPr="00B31D29">
        <w:rPr>
          <w:sz w:val="28"/>
        </w:rPr>
        <w:t xml:space="preserve">not an indication that the Commission does not plan </w:t>
      </w:r>
      <w:r w:rsidR="00BD30C8" w:rsidRPr="00B31D29">
        <w:rPr>
          <w:sz w:val="28"/>
        </w:rPr>
        <w:t xml:space="preserve">to </w:t>
      </w:r>
      <w:r w:rsidRPr="00B31D29">
        <w:rPr>
          <w:sz w:val="28"/>
        </w:rPr>
        <w:t>address the issue after all.</w:t>
      </w:r>
      <w:bookmarkStart w:id="36" w:name="_Ref496705452"/>
      <w:r w:rsidRPr="00B31D29">
        <w:rPr>
          <w:rStyle w:val="NoterefInText"/>
          <w:sz w:val="18"/>
        </w:rPr>
        <w:footnoteReference w:id="171"/>
      </w:r>
      <w:bookmarkEnd w:id="36"/>
    </w:p>
    <w:p w14:paraId="628ED2E2" w14:textId="58D2EAFF" w:rsidR="005536CD" w:rsidRPr="00B31D29" w:rsidRDefault="005536CD" w:rsidP="00C94332">
      <w:pPr>
        <w:pStyle w:val="SubHead1"/>
        <w:outlineLvl w:val="0"/>
        <w:rPr>
          <w:sz w:val="28"/>
        </w:rPr>
      </w:pPr>
      <w:bookmarkStart w:id="37" w:name="_Toc504798760"/>
      <w:r w:rsidRPr="00B31D29">
        <w:rPr>
          <w:sz w:val="28"/>
        </w:rPr>
        <w:lastRenderedPageBreak/>
        <w:t>IV.  Native Advertising</w:t>
      </w:r>
      <w:bookmarkEnd w:id="37"/>
    </w:p>
    <w:p w14:paraId="1C3D022B" w14:textId="619F8A06" w:rsidR="005536CD" w:rsidRPr="00B31D29" w:rsidRDefault="005536CD" w:rsidP="00BA13DF">
      <w:pPr>
        <w:pStyle w:val="SubHead2"/>
        <w:outlineLvl w:val="1"/>
        <w:rPr>
          <w:sz w:val="28"/>
        </w:rPr>
      </w:pPr>
      <w:bookmarkStart w:id="38" w:name="_Toc504798761"/>
      <w:r w:rsidRPr="00B31D29">
        <w:rPr>
          <w:sz w:val="28"/>
        </w:rPr>
        <w:t>A.  Growth of Digital Communication</w:t>
      </w:r>
      <w:bookmarkEnd w:id="38"/>
    </w:p>
    <w:p w14:paraId="6B88EBD5" w14:textId="3178FE23" w:rsidR="005536CD" w:rsidRPr="00B31D29" w:rsidRDefault="005536CD" w:rsidP="00637AD3">
      <w:pPr>
        <w:pStyle w:val="Document"/>
        <w:widowControl w:val="0"/>
        <w:rPr>
          <w:sz w:val="28"/>
          <w:highlight w:val="yellow"/>
        </w:rPr>
      </w:pPr>
      <w:r w:rsidRPr="00B31D29">
        <w:rPr>
          <w:sz w:val="28"/>
        </w:rPr>
        <w:t>The loopholes for Internet advertising are significant now in particular because online advertising is quickly catching up to more traditional forms of political communication</w:t>
      </w:r>
      <w:r w:rsidR="00C96A0B" w:rsidRPr="00B31D29">
        <w:rPr>
          <w:sz w:val="28"/>
        </w:rPr>
        <w:t>,</w:t>
      </w:r>
      <w:r w:rsidRPr="00B31D29">
        <w:rPr>
          <w:sz w:val="28"/>
        </w:rPr>
        <w:t xml:space="preserve"> such as television and radio. Borrell Associates, which tracks advertising data, found that in 2016 a record $1.4 billion was spent on digital advertising across local, state, and national campaigns, which constitutes a 789% increase in digital spending from 2012.</w:t>
      </w:r>
      <w:bookmarkStart w:id="39" w:name="_Ref492481644"/>
      <w:r w:rsidRPr="00B31D29">
        <w:rPr>
          <w:rStyle w:val="NoterefInText"/>
          <w:sz w:val="18"/>
        </w:rPr>
        <w:footnoteReference w:id="172"/>
      </w:r>
      <w:bookmarkEnd w:id="39"/>
      <w:r w:rsidRPr="00B31D29">
        <w:rPr>
          <w:sz w:val="28"/>
        </w:rPr>
        <w:t xml:space="preserve"> The </w:t>
      </w:r>
      <w:r w:rsidR="00EE7859" w:rsidRPr="00B31D29">
        <w:rPr>
          <w:sz w:val="28"/>
        </w:rPr>
        <w:t>dramatic increase</w:t>
      </w:r>
      <w:r w:rsidRPr="00B31D29">
        <w:rPr>
          <w:sz w:val="28"/>
        </w:rPr>
        <w:t xml:space="preserve"> seems to correspond with voter preferences. According to the Interactive Advertising Bureau, based on a sample size of 1,513 registered voters, 61% relied on digital media </w:t>
      </w:r>
      <w:r w:rsidR="0002120A" w:rsidRPr="00B31D29">
        <w:rPr>
          <w:sz w:val="28"/>
        </w:rPr>
        <w:t xml:space="preserve">to learn about candidates </w:t>
      </w:r>
      <w:r w:rsidRPr="00B31D29">
        <w:rPr>
          <w:sz w:val="28"/>
        </w:rPr>
        <w:t xml:space="preserve"> during the 2016 presidential primaries.</w:t>
      </w:r>
      <w:r w:rsidRPr="00B31D29">
        <w:rPr>
          <w:rStyle w:val="NoterefInText"/>
          <w:sz w:val="18"/>
        </w:rPr>
        <w:footnoteReference w:id="173"/>
      </w:r>
      <w:r w:rsidRPr="00B31D29">
        <w:rPr>
          <w:sz w:val="28"/>
        </w:rPr>
        <w:t xml:space="preserve"> This finding is on par with the responders’ reliance on television for </w:t>
      </w:r>
      <w:r w:rsidR="0002120A" w:rsidRPr="00B31D29">
        <w:rPr>
          <w:sz w:val="28"/>
        </w:rPr>
        <w:t>candidate information</w:t>
      </w:r>
      <w:r w:rsidRPr="00B31D29">
        <w:rPr>
          <w:sz w:val="28"/>
        </w:rPr>
        <w:t>, which also polled at 61%.</w:t>
      </w:r>
      <w:r w:rsidRPr="00B31D29">
        <w:rPr>
          <w:rStyle w:val="NoterefInText"/>
          <w:sz w:val="18"/>
        </w:rPr>
        <w:footnoteReference w:id="174"/>
      </w:r>
      <w:r w:rsidRPr="00B31D29">
        <w:rPr>
          <w:sz w:val="28"/>
        </w:rPr>
        <w:t xml:space="preserve"> </w:t>
      </w:r>
      <w:r w:rsidR="00A4353F" w:rsidRPr="00B31D29">
        <w:rPr>
          <w:sz w:val="28"/>
        </w:rPr>
        <w:t>Additionally, d</w:t>
      </w:r>
      <w:r w:rsidRPr="00B31D29">
        <w:rPr>
          <w:sz w:val="28"/>
        </w:rPr>
        <w:t xml:space="preserve">igital advertising offers politicians </w:t>
      </w:r>
      <w:r w:rsidR="00A4353F" w:rsidRPr="00B31D29">
        <w:rPr>
          <w:sz w:val="28"/>
        </w:rPr>
        <w:t xml:space="preserve">an </w:t>
      </w:r>
      <w:r w:rsidRPr="00B31D29">
        <w:rPr>
          <w:sz w:val="28"/>
        </w:rPr>
        <w:t>opportunity to generate more voter engagement. According to a study conducted by the Rubicon Project, an online advertising firm, and the polling firm Penn Schoen Berland, 64% of those who have seen a political advertisement on their mobile device have clicked on it or have taken some other action in response.</w:t>
      </w:r>
      <w:bookmarkStart w:id="40" w:name="_Ref492481642"/>
      <w:r w:rsidRPr="00B31D29">
        <w:rPr>
          <w:rStyle w:val="NoterefInText"/>
          <w:sz w:val="18"/>
        </w:rPr>
        <w:footnoteReference w:id="175"/>
      </w:r>
      <w:bookmarkEnd w:id="40"/>
      <w:r w:rsidRPr="00B31D29">
        <w:rPr>
          <w:sz w:val="28"/>
        </w:rPr>
        <w:t xml:space="preserve"> Illustrating that television advertising is losing some of its dominance in the advertising arena, two-thirds of participants in the study</w:t>
      </w:r>
      <w:r w:rsidR="00AF40CA" w:rsidRPr="00B31D29">
        <w:rPr>
          <w:sz w:val="28"/>
        </w:rPr>
        <w:t xml:space="preserve"> </w:t>
      </w:r>
      <w:r w:rsidR="00A4353F" w:rsidRPr="00B31D29">
        <w:rPr>
          <w:sz w:val="28"/>
        </w:rPr>
        <w:t xml:space="preserve"> further</w:t>
      </w:r>
      <w:r w:rsidRPr="00B31D29">
        <w:rPr>
          <w:sz w:val="28"/>
        </w:rPr>
        <w:t xml:space="preserve"> reported skipping ads recorded on their television “all or most of the time.”</w:t>
      </w:r>
      <w:r w:rsidRPr="00B31D29">
        <w:rPr>
          <w:rStyle w:val="NoterefInText"/>
          <w:sz w:val="18"/>
        </w:rPr>
        <w:footnoteReference w:id="176"/>
      </w:r>
      <w:r w:rsidRPr="00B31D29">
        <w:rPr>
          <w:sz w:val="28"/>
        </w:rPr>
        <w:t xml:space="preserve"> The same study also found that gaming is important for political advertising</w:t>
      </w:r>
      <w:r w:rsidR="00AD437E" w:rsidRPr="00B31D29">
        <w:rPr>
          <w:sz w:val="28"/>
        </w:rPr>
        <w:t xml:space="preserve">. </w:t>
      </w:r>
      <w:r w:rsidR="00AD437E" w:rsidRPr="00B31D29">
        <w:rPr>
          <w:sz w:val="28"/>
        </w:rPr>
        <w:lastRenderedPageBreak/>
        <w:t>H</w:t>
      </w:r>
      <w:r w:rsidRPr="00B31D29">
        <w:rPr>
          <w:sz w:val="28"/>
        </w:rPr>
        <w:t>alf of the likely voters surveyed reported playing games on their mobile device</w:t>
      </w:r>
      <w:r w:rsidR="00643B78" w:rsidRPr="00B31D29">
        <w:rPr>
          <w:sz w:val="28"/>
        </w:rPr>
        <w:t>s</w:t>
      </w:r>
      <w:r w:rsidRPr="00B31D29">
        <w:rPr>
          <w:sz w:val="28"/>
        </w:rPr>
        <w:t xml:space="preserve"> on a weekly basis</w:t>
      </w:r>
      <w:r w:rsidR="00AD437E" w:rsidRPr="00B31D29">
        <w:rPr>
          <w:sz w:val="28"/>
        </w:rPr>
        <w:t>,</w:t>
      </w:r>
      <w:r w:rsidR="00D66C50" w:rsidRPr="00B31D29">
        <w:rPr>
          <w:sz w:val="28"/>
        </w:rPr>
        <w:t xml:space="preserve"> and </w:t>
      </w:r>
      <w:r w:rsidR="00AD437E" w:rsidRPr="00B31D29">
        <w:rPr>
          <w:sz w:val="28"/>
        </w:rPr>
        <w:t>over</w:t>
      </w:r>
      <w:r w:rsidR="00D66C50" w:rsidRPr="00B31D29">
        <w:rPr>
          <w:sz w:val="28"/>
        </w:rPr>
        <w:t xml:space="preserve"> </w:t>
      </w:r>
      <w:r w:rsidRPr="00B31D29">
        <w:rPr>
          <w:sz w:val="28"/>
        </w:rPr>
        <w:t xml:space="preserve">one-third of likely </w:t>
      </w:r>
      <w:r w:rsidR="00A4353F" w:rsidRPr="00B31D29">
        <w:rPr>
          <w:sz w:val="28"/>
        </w:rPr>
        <w:t>D</w:t>
      </w:r>
      <w:r w:rsidRPr="00B31D29">
        <w:rPr>
          <w:sz w:val="28"/>
        </w:rPr>
        <w:t>emocrat</w:t>
      </w:r>
      <w:r w:rsidR="00A4353F" w:rsidRPr="00B31D29">
        <w:rPr>
          <w:sz w:val="28"/>
        </w:rPr>
        <w:t>ic</w:t>
      </w:r>
      <w:r w:rsidRPr="00B31D29">
        <w:rPr>
          <w:sz w:val="28"/>
        </w:rPr>
        <w:t xml:space="preserve"> </w:t>
      </w:r>
      <w:r w:rsidR="00D35006" w:rsidRPr="00B31D29">
        <w:rPr>
          <w:sz w:val="28"/>
        </w:rPr>
        <w:t xml:space="preserve">voters </w:t>
      </w:r>
      <w:r w:rsidRPr="00B31D29">
        <w:rPr>
          <w:sz w:val="28"/>
        </w:rPr>
        <w:t>and</w:t>
      </w:r>
      <w:r w:rsidR="00D35006" w:rsidRPr="00B31D29">
        <w:rPr>
          <w:sz w:val="28"/>
        </w:rPr>
        <w:t xml:space="preserve"> one</w:t>
      </w:r>
      <w:r w:rsidR="00A4353F" w:rsidRPr="00B31D29">
        <w:rPr>
          <w:sz w:val="28"/>
        </w:rPr>
        <w:t>-</w:t>
      </w:r>
      <w:r w:rsidRPr="00B31D29">
        <w:rPr>
          <w:sz w:val="28"/>
        </w:rPr>
        <w:t xml:space="preserve">quarter of likely independent voters reported playing </w:t>
      </w:r>
      <w:r w:rsidR="000437CE" w:rsidRPr="00B31D29">
        <w:rPr>
          <w:sz w:val="28"/>
        </w:rPr>
        <w:t xml:space="preserve">mobile </w:t>
      </w:r>
      <w:r w:rsidRPr="00B31D29">
        <w:rPr>
          <w:sz w:val="28"/>
        </w:rPr>
        <w:t xml:space="preserve">games </w:t>
      </w:r>
      <w:r w:rsidRPr="00B31D29">
        <w:rPr>
          <w:i/>
          <w:sz w:val="28"/>
        </w:rPr>
        <w:t>daily</w:t>
      </w:r>
      <w:r w:rsidRPr="00B31D29">
        <w:rPr>
          <w:sz w:val="28"/>
        </w:rPr>
        <w:t>.</w:t>
      </w:r>
      <w:r w:rsidRPr="00B31D29">
        <w:rPr>
          <w:rStyle w:val="NoterefInText"/>
          <w:sz w:val="18"/>
        </w:rPr>
        <w:footnoteReference w:id="177"/>
      </w:r>
    </w:p>
    <w:p w14:paraId="7ECC3DC4" w14:textId="72A525EF" w:rsidR="005536CD" w:rsidRPr="00B31D29" w:rsidRDefault="005536CD" w:rsidP="00BA13DF">
      <w:pPr>
        <w:pStyle w:val="SubHead2"/>
        <w:outlineLvl w:val="1"/>
        <w:rPr>
          <w:sz w:val="28"/>
        </w:rPr>
      </w:pPr>
      <w:bookmarkStart w:id="41" w:name="_Toc504798762"/>
      <w:r w:rsidRPr="00B31D29">
        <w:rPr>
          <w:sz w:val="28"/>
        </w:rPr>
        <w:t>B.  Politicians Go Native</w:t>
      </w:r>
      <w:bookmarkEnd w:id="41"/>
    </w:p>
    <w:p w14:paraId="7C6A7DEA" w14:textId="01C9A74A" w:rsidR="005536CD" w:rsidRPr="00B31D29" w:rsidRDefault="005536CD" w:rsidP="00637AD3">
      <w:pPr>
        <w:pStyle w:val="Document"/>
        <w:widowControl w:val="0"/>
        <w:rPr>
          <w:sz w:val="28"/>
        </w:rPr>
      </w:pPr>
      <w:r w:rsidRPr="00B31D29">
        <w:rPr>
          <w:sz w:val="28"/>
        </w:rPr>
        <w:t>Native advertising, also known as sponsored content, has become a popular component of the digital advertising landscape. Native advertising is designed to match the content of a media or technology platform</w:t>
      </w:r>
      <w:r w:rsidR="00A4353F" w:rsidRPr="00B31D29">
        <w:rPr>
          <w:sz w:val="28"/>
        </w:rPr>
        <w:t xml:space="preserve">, </w:t>
      </w:r>
      <w:r w:rsidRPr="00B31D29">
        <w:rPr>
          <w:sz w:val="28"/>
        </w:rPr>
        <w:t>“bear[ing] a similarity to the news, feature articles, product reviews, entertainment, and other material that surrounds it.”</w:t>
      </w:r>
      <w:r w:rsidRPr="00B31D29">
        <w:rPr>
          <w:rStyle w:val="NoterefInText"/>
          <w:sz w:val="18"/>
        </w:rPr>
        <w:footnoteReference w:id="178"/>
      </w:r>
      <w:r w:rsidRPr="00B31D29">
        <w:rPr>
          <w:sz w:val="28"/>
        </w:rPr>
        <w:t xml:space="preserve"> Native ads are popular with advertisers because they blend </w:t>
      </w:r>
      <w:r w:rsidR="004B5E46" w:rsidRPr="00B31D29">
        <w:rPr>
          <w:sz w:val="28"/>
        </w:rPr>
        <w:t xml:space="preserve">in </w:t>
      </w:r>
      <w:r w:rsidRPr="00B31D29">
        <w:rPr>
          <w:sz w:val="28"/>
        </w:rPr>
        <w:t>with their surroundings</w:t>
      </w:r>
      <w:r w:rsidR="008B787A" w:rsidRPr="00B31D29">
        <w:rPr>
          <w:sz w:val="28"/>
        </w:rPr>
        <w:t>,</w:t>
      </w:r>
      <w:r w:rsidRPr="00B31D29">
        <w:rPr>
          <w:sz w:val="28"/>
        </w:rPr>
        <w:t xml:space="preserve"> </w:t>
      </w:r>
      <w:r w:rsidR="008B787A" w:rsidRPr="00B31D29">
        <w:rPr>
          <w:sz w:val="28"/>
        </w:rPr>
        <w:t xml:space="preserve">making </w:t>
      </w:r>
      <w:r w:rsidRPr="00B31D29">
        <w:rPr>
          <w:sz w:val="28"/>
        </w:rPr>
        <w:t>consumers less likely to block or skip them.</w:t>
      </w:r>
      <w:r w:rsidRPr="00B31D29">
        <w:rPr>
          <w:rStyle w:val="NoterefInText"/>
          <w:sz w:val="18"/>
        </w:rPr>
        <w:footnoteReference w:id="179"/>
      </w:r>
      <w:r w:rsidRPr="00B31D29">
        <w:rPr>
          <w:sz w:val="28"/>
        </w:rPr>
        <w:t xml:space="preserve"> It is projected that spending on sponsored content will grow to $21 billion in 2018, up from $7.9 billion in 2015.</w:t>
      </w:r>
      <w:r w:rsidRPr="00B31D29">
        <w:rPr>
          <w:rStyle w:val="NoterefInText"/>
          <w:sz w:val="18"/>
        </w:rPr>
        <w:footnoteReference w:id="180"/>
      </w:r>
      <w:r w:rsidRPr="00B31D29">
        <w:rPr>
          <w:sz w:val="28"/>
        </w:rPr>
        <w:t xml:space="preserve"> A study by Facebook and IHS predicts that</w:t>
      </w:r>
      <w:r w:rsidR="008B787A" w:rsidRPr="00B31D29">
        <w:rPr>
          <w:sz w:val="28"/>
        </w:rPr>
        <w:t xml:space="preserve"> by 2020,</w:t>
      </w:r>
      <w:r w:rsidRPr="00B31D29">
        <w:rPr>
          <w:sz w:val="28"/>
        </w:rPr>
        <w:t xml:space="preserve"> native advertisements will make up over 63% of all mobile display ads.</w:t>
      </w:r>
      <w:r w:rsidRPr="00B31D29">
        <w:rPr>
          <w:rStyle w:val="NoterefInText"/>
          <w:sz w:val="18"/>
        </w:rPr>
        <w:footnoteReference w:id="181"/>
      </w:r>
    </w:p>
    <w:p w14:paraId="1C6D61A3" w14:textId="2ADDB50F" w:rsidR="005536CD" w:rsidRPr="00B31D29" w:rsidRDefault="002D3E9D" w:rsidP="00637AD3">
      <w:pPr>
        <w:pStyle w:val="Document"/>
        <w:widowControl w:val="0"/>
        <w:rPr>
          <w:sz w:val="28"/>
        </w:rPr>
      </w:pPr>
      <w:r w:rsidRPr="00B31D29">
        <w:rPr>
          <w:sz w:val="28"/>
        </w:rPr>
        <w:t>Just like corporate advertisers, p</w:t>
      </w:r>
      <w:r w:rsidR="005536CD" w:rsidRPr="00B31D29">
        <w:rPr>
          <w:sz w:val="28"/>
        </w:rPr>
        <w:t>oliticians have recognized the allure of native ads.</w:t>
      </w:r>
      <w:r w:rsidR="005536CD" w:rsidRPr="00B31D29">
        <w:rPr>
          <w:rStyle w:val="NoterefInText"/>
          <w:sz w:val="18"/>
        </w:rPr>
        <w:footnoteReference w:id="182"/>
      </w:r>
      <w:r w:rsidR="005536CD" w:rsidRPr="00B31D29">
        <w:rPr>
          <w:sz w:val="28"/>
        </w:rPr>
        <w:t xml:space="preserve"> During the 2016 presidential </w:t>
      </w:r>
      <w:r w:rsidR="002D25B6" w:rsidRPr="00B31D29">
        <w:rPr>
          <w:sz w:val="28"/>
        </w:rPr>
        <w:t>primaries</w:t>
      </w:r>
      <w:r w:rsidR="005536CD" w:rsidRPr="00B31D29">
        <w:rPr>
          <w:sz w:val="28"/>
        </w:rPr>
        <w:t xml:space="preserve">, </w:t>
      </w:r>
      <w:r w:rsidRPr="00B31D29">
        <w:rPr>
          <w:sz w:val="28"/>
        </w:rPr>
        <w:t xml:space="preserve">Senator </w:t>
      </w:r>
      <w:r w:rsidR="005536CD" w:rsidRPr="00B31D29">
        <w:rPr>
          <w:sz w:val="28"/>
        </w:rPr>
        <w:t>Bernie Sanders actively turned to sponsored content to influence voters. In February 2016, Politico partnered with Sanders to run an article criticizing privatized prisons</w:t>
      </w:r>
      <w:r w:rsidRPr="00B31D29">
        <w:rPr>
          <w:sz w:val="28"/>
        </w:rPr>
        <w:t xml:space="preserve">, </w:t>
      </w:r>
      <w:r w:rsidR="005536CD" w:rsidRPr="00B31D29">
        <w:rPr>
          <w:sz w:val="28"/>
        </w:rPr>
        <w:t xml:space="preserve">featured under the </w:t>
      </w:r>
      <w:r w:rsidR="005536CD" w:rsidRPr="00B31D29">
        <w:rPr>
          <w:sz w:val="28"/>
        </w:rPr>
        <w:lastRenderedPageBreak/>
        <w:t>label “Sponsored Story.”</w:t>
      </w:r>
      <w:r w:rsidR="005536CD" w:rsidRPr="00B31D29">
        <w:rPr>
          <w:rStyle w:val="NoterefInText"/>
          <w:sz w:val="18"/>
        </w:rPr>
        <w:footnoteReference w:id="183"/>
      </w:r>
      <w:r w:rsidR="005536CD" w:rsidRPr="00B31D29">
        <w:rPr>
          <w:sz w:val="28"/>
        </w:rPr>
        <w:t xml:space="preserve"> According to </w:t>
      </w:r>
      <w:r w:rsidRPr="00B31D29">
        <w:rPr>
          <w:sz w:val="28"/>
        </w:rPr>
        <w:t xml:space="preserve">a senior </w:t>
      </w:r>
      <w:r w:rsidR="005536CD" w:rsidRPr="00B31D29">
        <w:rPr>
          <w:sz w:val="28"/>
        </w:rPr>
        <w:t xml:space="preserve">Politico executive, Politico had </w:t>
      </w:r>
      <w:r w:rsidR="001B6F3D" w:rsidRPr="00B31D29">
        <w:rPr>
          <w:sz w:val="28"/>
        </w:rPr>
        <w:t>held</w:t>
      </w:r>
      <w:r w:rsidR="005536CD" w:rsidRPr="00B31D29">
        <w:rPr>
          <w:sz w:val="28"/>
        </w:rPr>
        <w:t xml:space="preserve"> discussions with “all the campaigns” about running similar features.</w:t>
      </w:r>
      <w:r w:rsidR="005536CD" w:rsidRPr="00B31D29">
        <w:rPr>
          <w:rStyle w:val="NoterefInText"/>
          <w:sz w:val="18"/>
        </w:rPr>
        <w:footnoteReference w:id="184"/>
      </w:r>
      <w:r w:rsidR="005536CD" w:rsidRPr="00B31D29">
        <w:rPr>
          <w:sz w:val="28"/>
        </w:rPr>
        <w:t xml:space="preserve"> Sanders also ran an ad on BuzzFeed in the form of a list titled “15 Reasons Bernie Sanders is the Candidate We’ve Been Waiting For.”</w:t>
      </w:r>
      <w:r w:rsidR="005536CD" w:rsidRPr="00B31D29">
        <w:rPr>
          <w:rStyle w:val="NoterefInText"/>
          <w:sz w:val="18"/>
        </w:rPr>
        <w:footnoteReference w:id="185"/>
      </w:r>
      <w:r w:rsidR="005536CD" w:rsidRPr="00B31D29">
        <w:rPr>
          <w:sz w:val="28"/>
        </w:rPr>
        <w:t xml:space="preserve"> A small logo below the headline identified that the posting was paid for by Bernie 2016</w:t>
      </w:r>
      <w:r w:rsidR="002D25B6" w:rsidRPr="00B31D29">
        <w:rPr>
          <w:sz w:val="28"/>
        </w:rPr>
        <w:t>, Sanders’s campaign organization</w:t>
      </w:r>
      <w:r w:rsidR="005536CD" w:rsidRPr="00B31D29">
        <w:rPr>
          <w:sz w:val="28"/>
        </w:rPr>
        <w:t>.</w:t>
      </w:r>
      <w:r w:rsidR="005536CD" w:rsidRPr="00B31D29">
        <w:rPr>
          <w:rStyle w:val="NoterefInText"/>
          <w:sz w:val="18"/>
        </w:rPr>
        <w:footnoteReference w:id="186"/>
      </w:r>
    </w:p>
    <w:p w14:paraId="2B4765C9" w14:textId="4D66153B" w:rsidR="005536CD" w:rsidRPr="00B31D29" w:rsidRDefault="005536CD" w:rsidP="00637AD3">
      <w:pPr>
        <w:pStyle w:val="Document"/>
        <w:widowControl w:val="0"/>
        <w:rPr>
          <w:sz w:val="28"/>
        </w:rPr>
      </w:pPr>
      <w:r w:rsidRPr="00B31D29">
        <w:rPr>
          <w:sz w:val="28"/>
        </w:rPr>
        <w:t>News sources are not the only platforms where native advertising has been used</w:t>
      </w:r>
      <w:r w:rsidR="00C003FB" w:rsidRPr="00B31D29">
        <w:rPr>
          <w:sz w:val="28"/>
        </w:rPr>
        <w:t>: g</w:t>
      </w:r>
      <w:r w:rsidRPr="00B31D29">
        <w:rPr>
          <w:sz w:val="28"/>
        </w:rPr>
        <w:t>ames have also become a potential advertising option for politicians and their supporters. In 2008, Barack Obama became the first presidential candidate to campaign using video games.</w:t>
      </w:r>
      <w:r w:rsidRPr="00B31D29">
        <w:rPr>
          <w:rStyle w:val="NoterefInText"/>
          <w:sz w:val="18"/>
        </w:rPr>
        <w:footnoteReference w:id="187"/>
      </w:r>
      <w:r w:rsidRPr="00B31D29">
        <w:rPr>
          <w:sz w:val="28"/>
        </w:rPr>
        <w:t xml:space="preserve"> Obama placed ads geared toward a male audience </w:t>
      </w:r>
      <w:r w:rsidR="00671E2A" w:rsidRPr="00B31D29">
        <w:rPr>
          <w:sz w:val="28"/>
        </w:rPr>
        <w:t>withi</w:t>
      </w:r>
      <w:r w:rsidRPr="00B31D29">
        <w:rPr>
          <w:sz w:val="28"/>
        </w:rPr>
        <w:t>n sports-themed games</w:t>
      </w:r>
      <w:r w:rsidR="00671E2A" w:rsidRPr="00B31D29">
        <w:rPr>
          <w:sz w:val="28"/>
        </w:rPr>
        <w:t>;</w:t>
      </w:r>
      <w:r w:rsidRPr="00B31D29">
        <w:rPr>
          <w:sz w:val="28"/>
        </w:rPr>
        <w:t xml:space="preserve"> </w:t>
      </w:r>
      <w:r w:rsidR="00671E2A" w:rsidRPr="00B31D29">
        <w:rPr>
          <w:sz w:val="28"/>
        </w:rPr>
        <w:t xml:space="preserve">virtual </w:t>
      </w:r>
      <w:r w:rsidRPr="00B31D29">
        <w:rPr>
          <w:sz w:val="28"/>
        </w:rPr>
        <w:t xml:space="preserve">pro-Obama billboards or other signs </w:t>
      </w:r>
      <w:r w:rsidR="00671E2A" w:rsidRPr="00B31D29">
        <w:rPr>
          <w:sz w:val="28"/>
        </w:rPr>
        <w:t>appeared</w:t>
      </w:r>
      <w:r w:rsidRPr="00B31D29">
        <w:rPr>
          <w:sz w:val="28"/>
        </w:rPr>
        <w:t xml:space="preserve"> in the background</w:t>
      </w:r>
      <w:r w:rsidR="00671E2A" w:rsidRPr="00B31D29">
        <w:rPr>
          <w:sz w:val="28"/>
        </w:rPr>
        <w:t>,</w:t>
      </w:r>
      <w:r w:rsidRPr="00B31D29">
        <w:rPr>
          <w:sz w:val="28"/>
        </w:rPr>
        <w:t xml:space="preserve"> reminding players to vote.</w:t>
      </w:r>
      <w:r w:rsidRPr="00B31D29">
        <w:rPr>
          <w:rStyle w:val="NoterefInText"/>
          <w:sz w:val="18"/>
        </w:rPr>
        <w:footnoteReference w:id="188"/>
      </w:r>
      <w:r w:rsidRPr="00B31D29">
        <w:rPr>
          <w:sz w:val="28"/>
        </w:rPr>
        <w:t xml:space="preserve"> But as native ads become more sophisticated, they no longer have to look </w:t>
      </w:r>
      <w:r w:rsidR="00671E2A" w:rsidRPr="00B31D29">
        <w:rPr>
          <w:sz w:val="28"/>
        </w:rPr>
        <w:t xml:space="preserve">only </w:t>
      </w:r>
      <w:r w:rsidRPr="00B31D29">
        <w:rPr>
          <w:sz w:val="28"/>
        </w:rPr>
        <w:t xml:space="preserve">like </w:t>
      </w:r>
      <w:r w:rsidR="00671E2A" w:rsidRPr="00B31D29">
        <w:rPr>
          <w:sz w:val="28"/>
        </w:rPr>
        <w:t xml:space="preserve">digital </w:t>
      </w:r>
      <w:r w:rsidRPr="00B31D29">
        <w:rPr>
          <w:sz w:val="28"/>
        </w:rPr>
        <w:t xml:space="preserve">replicas of traditional banners or signs. Instead, they can be designed to blend </w:t>
      </w:r>
      <w:r w:rsidR="00C97561" w:rsidRPr="00B31D29">
        <w:rPr>
          <w:sz w:val="28"/>
        </w:rPr>
        <w:t xml:space="preserve">in </w:t>
      </w:r>
      <w:r w:rsidRPr="00B31D29">
        <w:rPr>
          <w:sz w:val="28"/>
        </w:rPr>
        <w:t>with the content of the platform even more seamlessly.</w:t>
      </w:r>
    </w:p>
    <w:p w14:paraId="6D189301" w14:textId="4AC4DEE6" w:rsidR="005536CD" w:rsidRPr="00B31D29" w:rsidRDefault="005536CD" w:rsidP="00637AD3">
      <w:pPr>
        <w:pStyle w:val="Document"/>
        <w:widowControl w:val="0"/>
        <w:rPr>
          <w:sz w:val="28"/>
        </w:rPr>
      </w:pPr>
      <w:r w:rsidRPr="00B31D29">
        <w:rPr>
          <w:sz w:val="28"/>
        </w:rPr>
        <w:t xml:space="preserve">In January 2016, Zynga, the gaming company behind Words </w:t>
      </w:r>
      <w:r w:rsidR="00AA5113" w:rsidRPr="00B31D29">
        <w:rPr>
          <w:sz w:val="28"/>
        </w:rPr>
        <w:t>W</w:t>
      </w:r>
      <w:r w:rsidRPr="00B31D29">
        <w:rPr>
          <w:sz w:val="28"/>
        </w:rPr>
        <w:t>ith Friends and Farmville, partnered with the Rubicon Project to work with political campaigns</w:t>
      </w:r>
      <w:r w:rsidR="00F60C5D" w:rsidRPr="00B31D29">
        <w:rPr>
          <w:sz w:val="28"/>
        </w:rPr>
        <w:t xml:space="preserve"> to develop </w:t>
      </w:r>
      <w:r w:rsidRPr="00B31D29">
        <w:rPr>
          <w:sz w:val="28"/>
        </w:rPr>
        <w:t xml:space="preserve">native mobile ads </w:t>
      </w:r>
      <w:r w:rsidR="00F60C5D" w:rsidRPr="00B31D29">
        <w:rPr>
          <w:sz w:val="28"/>
        </w:rPr>
        <w:t xml:space="preserve">for </w:t>
      </w:r>
      <w:r w:rsidRPr="00B31D29">
        <w:rPr>
          <w:sz w:val="28"/>
        </w:rPr>
        <w:t>its gaming platforms.</w:t>
      </w:r>
      <w:bookmarkStart w:id="42" w:name="_Ref496705398"/>
      <w:r w:rsidRPr="00B31D29">
        <w:rPr>
          <w:rStyle w:val="NoterefInText"/>
          <w:sz w:val="18"/>
        </w:rPr>
        <w:footnoteReference w:id="189"/>
      </w:r>
      <w:bookmarkEnd w:id="42"/>
      <w:r w:rsidRPr="00B31D29">
        <w:rPr>
          <w:sz w:val="28"/>
        </w:rPr>
        <w:t xml:space="preserve"> The </w:t>
      </w:r>
      <w:r w:rsidRPr="00B31D29">
        <w:rPr>
          <w:sz w:val="28"/>
        </w:rPr>
        <w:lastRenderedPageBreak/>
        <w:t xml:space="preserve">“SponsoredPLAY” ads are </w:t>
      </w:r>
      <w:r w:rsidR="00AA5113" w:rsidRPr="00B31D29">
        <w:rPr>
          <w:sz w:val="28"/>
        </w:rPr>
        <w:t>“</w:t>
      </w:r>
      <w:r w:rsidRPr="00B31D29">
        <w:rPr>
          <w:sz w:val="28"/>
        </w:rPr>
        <w:t>optional mini</w:t>
      </w:r>
      <w:r w:rsidR="00695878" w:rsidRPr="00B31D29">
        <w:rPr>
          <w:sz w:val="28"/>
        </w:rPr>
        <w:t>-</w:t>
      </w:r>
      <w:r w:rsidRPr="00B31D29">
        <w:rPr>
          <w:sz w:val="28"/>
        </w:rPr>
        <w:t>games” that appear while users play regular games.</w:t>
      </w:r>
      <w:bookmarkStart w:id="43" w:name="_Ref492481641"/>
      <w:r w:rsidRPr="00B31D29">
        <w:rPr>
          <w:rStyle w:val="NoterefInText"/>
          <w:sz w:val="18"/>
        </w:rPr>
        <w:footnoteReference w:id="190"/>
      </w:r>
      <w:bookmarkEnd w:id="43"/>
      <w:r w:rsidRPr="00B31D29">
        <w:rPr>
          <w:sz w:val="28"/>
        </w:rPr>
        <w:t xml:space="preserve"> According to Zynga’s chief data officer, </w:t>
      </w:r>
      <w:r w:rsidR="00695878" w:rsidRPr="00B31D29">
        <w:rPr>
          <w:sz w:val="28"/>
        </w:rPr>
        <w:t xml:space="preserve">SponsoredPLAY </w:t>
      </w:r>
      <w:r w:rsidRPr="00B31D29">
        <w:rPr>
          <w:sz w:val="28"/>
        </w:rPr>
        <w:t>is “designed with players in mind while also incorporating the goals of political campaign clients.”</w:t>
      </w:r>
      <w:r w:rsidRPr="00B31D29">
        <w:rPr>
          <w:rStyle w:val="NoterefInText"/>
          <w:sz w:val="18"/>
        </w:rPr>
        <w:footnoteReference w:id="191"/>
      </w:r>
      <w:r w:rsidRPr="00B31D29">
        <w:rPr>
          <w:sz w:val="28"/>
        </w:rPr>
        <w:t xml:space="preserve"> The games can incorporate campaign goals such as “issue awareness, email collection, fundraising or polling.”</w:t>
      </w:r>
      <w:r w:rsidRPr="00B31D29">
        <w:rPr>
          <w:rStyle w:val="NoterefInText"/>
          <w:sz w:val="18"/>
        </w:rPr>
        <w:footnoteReference w:id="192"/>
      </w:r>
      <w:r w:rsidRPr="00B31D29">
        <w:rPr>
          <w:sz w:val="28"/>
        </w:rPr>
        <w:t xml:space="preserve"> Zynga can also draw on its player data to use “location-based targeting,” adjusting the games with customized messages for specific states.</w:t>
      </w:r>
      <w:r w:rsidRPr="00B31D29">
        <w:rPr>
          <w:rStyle w:val="NoterefInText"/>
          <w:sz w:val="18"/>
        </w:rPr>
        <w:footnoteReference w:id="193"/>
      </w:r>
      <w:r w:rsidRPr="00B31D29">
        <w:rPr>
          <w:sz w:val="28"/>
        </w:rPr>
        <w:t xml:space="preserve"> Zynga is </w:t>
      </w:r>
      <w:r w:rsidR="00671E2A" w:rsidRPr="00B31D29">
        <w:rPr>
          <w:sz w:val="28"/>
        </w:rPr>
        <w:t xml:space="preserve">a </w:t>
      </w:r>
      <w:r w:rsidRPr="00B31D29">
        <w:rPr>
          <w:sz w:val="28"/>
        </w:rPr>
        <w:t>potentially powerful marketing tool for politicians. The company claims that over one billion people have played its games since its founding in 2007.</w:t>
      </w:r>
      <w:r w:rsidRPr="00B31D29">
        <w:rPr>
          <w:rStyle w:val="NoterefInText"/>
          <w:sz w:val="18"/>
        </w:rPr>
        <w:footnoteReference w:id="194"/>
      </w:r>
      <w:r w:rsidRPr="00B31D29">
        <w:rPr>
          <w:sz w:val="28"/>
        </w:rPr>
        <w:t xml:space="preserve"> Strikingly, about 90</w:t>
      </w:r>
      <w:r w:rsidR="003A7052" w:rsidRPr="00B31D29">
        <w:rPr>
          <w:sz w:val="28"/>
        </w:rPr>
        <w:t xml:space="preserve"> percent</w:t>
      </w:r>
      <w:r w:rsidRPr="00B31D29">
        <w:rPr>
          <w:sz w:val="28"/>
        </w:rPr>
        <w:t xml:space="preserve"> of Zynga’s users were registered and planned to vote in 2016</w:t>
      </w:r>
      <w:r w:rsidR="00671E2A" w:rsidRPr="00B31D29">
        <w:rPr>
          <w:sz w:val="28"/>
        </w:rPr>
        <w:t>,</w:t>
      </w:r>
      <w:r w:rsidRPr="00B31D29">
        <w:rPr>
          <w:sz w:val="28"/>
        </w:rPr>
        <w:t xml:space="preserve"> according to</w:t>
      </w:r>
      <w:r w:rsidRPr="00B31D29">
        <w:rPr>
          <w:color w:val="333333"/>
          <w:sz w:val="28"/>
          <w:shd w:val="clear" w:color="auto" w:fill="FFFFFF"/>
        </w:rPr>
        <w:t xml:space="preserve"> a Niels</w:t>
      </w:r>
      <w:r w:rsidR="003A7052" w:rsidRPr="00B31D29">
        <w:rPr>
          <w:color w:val="333333"/>
          <w:sz w:val="28"/>
          <w:shd w:val="clear" w:color="auto" w:fill="FFFFFF"/>
        </w:rPr>
        <w:t>e</w:t>
      </w:r>
      <w:r w:rsidRPr="00B31D29">
        <w:rPr>
          <w:color w:val="333333"/>
          <w:sz w:val="28"/>
          <w:shd w:val="clear" w:color="auto" w:fill="FFFFFF"/>
        </w:rPr>
        <w:t>n study.</w:t>
      </w:r>
      <w:r w:rsidRPr="00B31D29">
        <w:rPr>
          <w:rStyle w:val="NoterefInText"/>
          <w:sz w:val="18"/>
        </w:rPr>
        <w:footnoteReference w:id="195"/>
      </w:r>
      <w:r w:rsidRPr="00B31D29">
        <w:rPr>
          <w:color w:val="333333"/>
          <w:sz w:val="28"/>
          <w:shd w:val="clear" w:color="auto" w:fill="FFFFFF"/>
        </w:rPr>
        <w:t xml:space="preserve"> Combined </w:t>
      </w:r>
      <w:r w:rsidRPr="00B31D29">
        <w:rPr>
          <w:sz w:val="28"/>
        </w:rPr>
        <w:t>with the findings that about half of potential voters play mobile games weekly, this statistic makes the value of games for political advertising even more apparent.</w:t>
      </w:r>
      <w:r w:rsidRPr="00B31D29">
        <w:rPr>
          <w:rStyle w:val="NoterefInText"/>
          <w:sz w:val="18"/>
        </w:rPr>
        <w:footnoteReference w:id="196"/>
      </w:r>
    </w:p>
    <w:p w14:paraId="62CC7609" w14:textId="1ACF7781" w:rsidR="005536CD" w:rsidRPr="00B31D29" w:rsidRDefault="005536CD" w:rsidP="00637AD3">
      <w:pPr>
        <w:pStyle w:val="Document"/>
        <w:widowControl w:val="0"/>
        <w:rPr>
          <w:sz w:val="28"/>
        </w:rPr>
      </w:pPr>
      <w:r w:rsidRPr="00B31D29">
        <w:rPr>
          <w:sz w:val="28"/>
        </w:rPr>
        <w:t>Despite its growing popularity, native advertising is not without controversy</w:t>
      </w:r>
      <w:r w:rsidR="00671E2A" w:rsidRPr="00B31D29">
        <w:rPr>
          <w:sz w:val="28"/>
        </w:rPr>
        <w:t>. T</w:t>
      </w:r>
      <w:r w:rsidRPr="00B31D29">
        <w:rPr>
          <w:sz w:val="28"/>
        </w:rPr>
        <w:t>he characteristics that make native advertising commercially appealing can also pose ethical issues; studies show that consumers frequently cannot distinguish native ads from editorial content. A study by the International Advertising Bureau found that only 41% of participants were able to identify native ad</w:t>
      </w:r>
      <w:r w:rsidR="00A5254D" w:rsidRPr="00B31D29">
        <w:rPr>
          <w:sz w:val="28"/>
        </w:rPr>
        <w:t>s</w:t>
      </w:r>
      <w:r w:rsidRPr="00B31D29">
        <w:rPr>
          <w:sz w:val="28"/>
        </w:rPr>
        <w:t xml:space="preserve"> as promotional materials</w:t>
      </w:r>
      <w:r w:rsidR="00671E2A" w:rsidRPr="00B31D29">
        <w:rPr>
          <w:sz w:val="28"/>
        </w:rPr>
        <w:t>,</w:t>
      </w:r>
      <w:r w:rsidRPr="00B31D29">
        <w:rPr>
          <w:rStyle w:val="NoterefInText"/>
          <w:sz w:val="18"/>
        </w:rPr>
        <w:footnoteReference w:id="197"/>
      </w:r>
      <w:r w:rsidRPr="00B31D29">
        <w:rPr>
          <w:sz w:val="28"/>
        </w:rPr>
        <w:t xml:space="preserve"> </w:t>
      </w:r>
      <w:r w:rsidR="00671E2A" w:rsidRPr="00B31D29">
        <w:rPr>
          <w:sz w:val="28"/>
        </w:rPr>
        <w:t>and i</w:t>
      </w:r>
      <w:r w:rsidRPr="00B31D29">
        <w:rPr>
          <w:sz w:val="28"/>
        </w:rPr>
        <w:t>n a study by Contently, a media strategy company, 48% of participants felt deceived upon discovering that what they assumed was editorial content was, instead, an advertisement.</w:t>
      </w:r>
      <w:r w:rsidRPr="00B31D29">
        <w:rPr>
          <w:rStyle w:val="NoterefInText"/>
          <w:sz w:val="18"/>
        </w:rPr>
        <w:footnoteReference w:id="198"/>
      </w:r>
    </w:p>
    <w:p w14:paraId="58D92E08" w14:textId="797CE7A2" w:rsidR="005536CD" w:rsidRPr="00B31D29" w:rsidRDefault="005536CD" w:rsidP="00637AD3">
      <w:pPr>
        <w:pStyle w:val="Document"/>
        <w:widowControl w:val="0"/>
        <w:rPr>
          <w:sz w:val="28"/>
        </w:rPr>
      </w:pPr>
      <w:r w:rsidRPr="00B31D29">
        <w:rPr>
          <w:sz w:val="28"/>
        </w:rPr>
        <w:lastRenderedPageBreak/>
        <w:t>The federal government prohibits false and misleading advertising, and the Federal Trade Commission (</w:t>
      </w:r>
      <w:r w:rsidR="00AD0280" w:rsidRPr="00B31D29">
        <w:rPr>
          <w:sz w:val="28"/>
        </w:rPr>
        <w:t>“</w:t>
      </w:r>
      <w:r w:rsidRPr="00B31D29">
        <w:rPr>
          <w:sz w:val="28"/>
        </w:rPr>
        <w:t>FTC</w:t>
      </w:r>
      <w:r w:rsidR="00AD0280" w:rsidRPr="00B31D29">
        <w:rPr>
          <w:sz w:val="28"/>
        </w:rPr>
        <w:t>”</w:t>
      </w:r>
      <w:r w:rsidRPr="00B31D29">
        <w:rPr>
          <w:sz w:val="28"/>
        </w:rPr>
        <w:t>), which is charged with enforcing truth in advertising laws, has recognized the potentially deceptive nature of native ads.</w:t>
      </w:r>
      <w:r w:rsidRPr="00B31D29">
        <w:rPr>
          <w:rStyle w:val="NoterefInText"/>
          <w:sz w:val="18"/>
        </w:rPr>
        <w:footnoteReference w:id="199"/>
      </w:r>
      <w:r w:rsidRPr="00B31D29">
        <w:rPr>
          <w:sz w:val="28"/>
        </w:rPr>
        <w:t xml:space="preserve"> The FTC issued an enforcement policy statement in 2015 announcing that an ad will be considered deceptive if it “mislead</w:t>
      </w:r>
      <w:r w:rsidR="0096299D" w:rsidRPr="00B31D29">
        <w:rPr>
          <w:sz w:val="28"/>
        </w:rPr>
        <w:t>s</w:t>
      </w:r>
      <w:r w:rsidRPr="00B31D29">
        <w:rPr>
          <w:sz w:val="28"/>
        </w:rPr>
        <w:t xml:space="preserve"> reasonable consumers as to its nature or source, including that a party other than the sponsoring advertiser is its source.”</w:t>
      </w:r>
      <w:bookmarkStart w:id="44" w:name="_Ref496705506"/>
      <w:r w:rsidRPr="00B31D29">
        <w:rPr>
          <w:rStyle w:val="NoterefInText"/>
          <w:sz w:val="18"/>
        </w:rPr>
        <w:footnoteReference w:id="200"/>
      </w:r>
      <w:bookmarkEnd w:id="44"/>
      <w:r w:rsidRPr="00B31D29">
        <w:rPr>
          <w:sz w:val="28"/>
        </w:rPr>
        <w:t xml:space="preserve"> To determine whether an advertisement is deceptive, the FTC will evaluate where the ads are featured and will consider the “customary expectations based on consumers’ prior experience with the media.”</w:t>
      </w:r>
      <w:r w:rsidRPr="00B31D29">
        <w:rPr>
          <w:rStyle w:val="NoterefInText"/>
          <w:sz w:val="18"/>
        </w:rPr>
        <w:footnoteReference w:id="201"/>
      </w:r>
      <w:r w:rsidRPr="00B31D29">
        <w:rPr>
          <w:sz w:val="28"/>
        </w:rPr>
        <w:t xml:space="preserve"> The adequacy of disclosure will also be judged by whether “reasonable consumers perceive the ad as advertising.”</w:t>
      </w:r>
      <w:r w:rsidRPr="00B31D29">
        <w:rPr>
          <w:rStyle w:val="NoterefInText"/>
          <w:sz w:val="18"/>
        </w:rPr>
        <w:footnoteReference w:id="202"/>
      </w:r>
      <w:r w:rsidRPr="00B31D29">
        <w:rPr>
          <w:sz w:val="28"/>
        </w:rPr>
        <w:t xml:space="preserve"> The FTC advises businesses to use terms such as “Ad</w:t>
      </w:r>
      <w:r w:rsidR="000D33DF" w:rsidRPr="00B31D29">
        <w:rPr>
          <w:sz w:val="28"/>
        </w:rPr>
        <w:t>vertisement</w:t>
      </w:r>
      <w:r w:rsidRPr="00B31D29">
        <w:rPr>
          <w:sz w:val="28"/>
        </w:rPr>
        <w:t>”</w:t>
      </w:r>
      <w:r w:rsidR="00F707DA" w:rsidRPr="00B31D29">
        <w:rPr>
          <w:sz w:val="28"/>
        </w:rPr>
        <w:t xml:space="preserve"> and</w:t>
      </w:r>
      <w:r w:rsidRPr="00B31D29">
        <w:rPr>
          <w:sz w:val="28"/>
        </w:rPr>
        <w:t xml:space="preserve"> “Paid Advertisement”</w:t>
      </w:r>
      <w:r w:rsidRPr="00B31D29">
        <w:rPr>
          <w:rStyle w:val="NoterefInText"/>
          <w:sz w:val="18"/>
        </w:rPr>
        <w:footnoteReference w:id="203"/>
      </w:r>
      <w:r w:rsidRPr="00B31D29">
        <w:rPr>
          <w:sz w:val="28"/>
        </w:rPr>
        <w:t xml:space="preserve"> to make the nature of </w:t>
      </w:r>
      <w:r w:rsidR="006029B5" w:rsidRPr="00B31D29">
        <w:rPr>
          <w:sz w:val="28"/>
        </w:rPr>
        <w:t xml:space="preserve">ads </w:t>
      </w:r>
      <w:r w:rsidRPr="00B31D29">
        <w:rPr>
          <w:sz w:val="28"/>
        </w:rPr>
        <w:t xml:space="preserve">more apparent to consumers. The </w:t>
      </w:r>
      <w:r w:rsidR="00F24A30" w:rsidRPr="00B31D29">
        <w:rPr>
          <w:sz w:val="28"/>
        </w:rPr>
        <w:t xml:space="preserve">Better Business Bureau (“BBB”), a </w:t>
      </w:r>
      <w:r w:rsidR="00496EE7" w:rsidRPr="00B31D29">
        <w:rPr>
          <w:sz w:val="28"/>
        </w:rPr>
        <w:t xml:space="preserve">non-profit group, </w:t>
      </w:r>
      <w:r w:rsidRPr="00B31D29">
        <w:rPr>
          <w:sz w:val="28"/>
        </w:rPr>
        <w:t>has joined the FTC’s efforts</w:t>
      </w:r>
      <w:r w:rsidR="00F43002" w:rsidRPr="00B31D29">
        <w:rPr>
          <w:sz w:val="28"/>
        </w:rPr>
        <w:t>,</w:t>
      </w:r>
      <w:r w:rsidRPr="00B31D29">
        <w:rPr>
          <w:sz w:val="28"/>
        </w:rPr>
        <w:t xml:space="preserve"> stat</w:t>
      </w:r>
      <w:r w:rsidR="00F43002" w:rsidRPr="00B31D29">
        <w:rPr>
          <w:sz w:val="28"/>
        </w:rPr>
        <w:t>ing</w:t>
      </w:r>
      <w:r w:rsidRPr="00B31D29">
        <w:rPr>
          <w:sz w:val="28"/>
        </w:rPr>
        <w:t xml:space="preserve"> that any ad that is “designed to fool consumers is</w:t>
      </w:r>
      <w:r w:rsidR="00541E5D" w:rsidRPr="00B31D29">
        <w:rPr>
          <w:sz w:val="28"/>
        </w:rPr>
        <w:t>—</w:t>
      </w:r>
      <w:r w:rsidRPr="00B31D29">
        <w:rPr>
          <w:sz w:val="28"/>
        </w:rPr>
        <w:t>plain and simple</w:t>
      </w:r>
      <w:r w:rsidR="00541E5D" w:rsidRPr="00B31D29">
        <w:rPr>
          <w:sz w:val="28"/>
        </w:rPr>
        <w:t>—</w:t>
      </w:r>
      <w:r w:rsidRPr="00B31D29">
        <w:rPr>
          <w:sz w:val="28"/>
        </w:rPr>
        <w:t>a bad ad</w:t>
      </w:r>
      <w:r w:rsidR="00F43002" w:rsidRPr="00B31D29">
        <w:rPr>
          <w:sz w:val="28"/>
        </w:rPr>
        <w:t xml:space="preserve">, and </w:t>
      </w:r>
      <w:r w:rsidRPr="00B31D29">
        <w:rPr>
          <w:sz w:val="28"/>
        </w:rPr>
        <w:t>violates</w:t>
      </w:r>
      <w:r w:rsidR="00496EE7" w:rsidRPr="00B31D29">
        <w:rPr>
          <w:sz w:val="28"/>
        </w:rPr>
        <w:t xml:space="preserve"> [the BBB’s] </w:t>
      </w:r>
      <w:r w:rsidRPr="00B31D29">
        <w:rPr>
          <w:sz w:val="28"/>
        </w:rPr>
        <w:t>standards.</w:t>
      </w:r>
      <w:r w:rsidR="00F43002" w:rsidRPr="00B31D29">
        <w:rPr>
          <w:sz w:val="28"/>
        </w:rPr>
        <w:t>”</w:t>
      </w:r>
      <w:r w:rsidR="00F43002" w:rsidRPr="00B31D29">
        <w:rPr>
          <w:rStyle w:val="NoterefInText"/>
          <w:sz w:val="18"/>
        </w:rPr>
        <w:footnoteReference w:id="204"/>
      </w:r>
      <w:r w:rsidR="00F43002" w:rsidRPr="00B31D29">
        <w:rPr>
          <w:sz w:val="28"/>
        </w:rPr>
        <w:t xml:space="preserve"> </w:t>
      </w:r>
      <w:r w:rsidRPr="00B31D29">
        <w:rPr>
          <w:sz w:val="28"/>
        </w:rPr>
        <w:t>Like the FTC, the BBB modified its Code of Advertising to require that sponsored content include clear disclaimers such as “sponsored advertising content</w:t>
      </w:r>
      <w:r w:rsidR="00F43002" w:rsidRPr="00B31D29">
        <w:rPr>
          <w:sz w:val="28"/>
        </w:rPr>
        <w:t>”</w:t>
      </w:r>
      <w:r w:rsidRPr="00B31D29">
        <w:rPr>
          <w:sz w:val="28"/>
        </w:rPr>
        <w:t xml:space="preserve"> or “sponsored by.”</w:t>
      </w:r>
      <w:r w:rsidRPr="00B31D29">
        <w:rPr>
          <w:rStyle w:val="NoterefInText"/>
          <w:sz w:val="18"/>
        </w:rPr>
        <w:footnoteReference w:id="205"/>
      </w:r>
      <w:r w:rsidRPr="00B31D29">
        <w:rPr>
          <w:sz w:val="28"/>
        </w:rPr>
        <w:t xml:space="preserve"> Regardless of its efforts to curtai</w:t>
      </w:r>
      <w:r w:rsidR="004B3017" w:rsidRPr="00B31D29">
        <w:rPr>
          <w:sz w:val="28"/>
        </w:rPr>
        <w:t>l</w:t>
      </w:r>
      <w:r w:rsidRPr="00B31D29">
        <w:rPr>
          <w:sz w:val="28"/>
        </w:rPr>
        <w:t xml:space="preserve"> the potentially deceptive effects of native advertising, the FTC does not have oversight over political ads, which are core political speech and are thus subject to strict First Amendment </w:t>
      </w:r>
      <w:r w:rsidRPr="00B31D29">
        <w:rPr>
          <w:sz w:val="28"/>
        </w:rPr>
        <w:lastRenderedPageBreak/>
        <w:t>protections.</w:t>
      </w:r>
      <w:r w:rsidRPr="00B31D29">
        <w:rPr>
          <w:rStyle w:val="NoterefInText"/>
          <w:sz w:val="18"/>
        </w:rPr>
        <w:footnoteReference w:id="206"/>
      </w:r>
      <w:r w:rsidRPr="00B31D29">
        <w:rPr>
          <w:sz w:val="28"/>
        </w:rPr>
        <w:t xml:space="preserve"> For this reason, the FTC’s enforcement policy regarding native advertising does not apply in the political arena.</w:t>
      </w:r>
      <w:r w:rsidRPr="00B31D29">
        <w:rPr>
          <w:rStyle w:val="NoterefInText"/>
          <w:sz w:val="18"/>
        </w:rPr>
        <w:footnoteReference w:id="207"/>
      </w:r>
    </w:p>
    <w:p w14:paraId="1EC7BEED" w14:textId="1329746E" w:rsidR="005536CD" w:rsidRPr="00B31D29" w:rsidRDefault="005536CD" w:rsidP="00637AD3">
      <w:pPr>
        <w:pStyle w:val="Document"/>
        <w:widowControl w:val="0"/>
        <w:rPr>
          <w:sz w:val="28"/>
        </w:rPr>
      </w:pPr>
      <w:r w:rsidRPr="00B31D29">
        <w:rPr>
          <w:sz w:val="28"/>
        </w:rPr>
        <w:t>The lack of oversight for political ads is concerning</w:t>
      </w:r>
      <w:r w:rsidR="00496EE7" w:rsidRPr="00B31D29">
        <w:rPr>
          <w:sz w:val="28"/>
        </w:rPr>
        <w:t xml:space="preserve"> because </w:t>
      </w:r>
      <w:r w:rsidRPr="00B31D29">
        <w:rPr>
          <w:sz w:val="28"/>
        </w:rPr>
        <w:t xml:space="preserve">when used in non-political settings such as games, native political ads have a particularly strong potential </w:t>
      </w:r>
      <w:r w:rsidR="008D101F" w:rsidRPr="00B31D29">
        <w:rPr>
          <w:sz w:val="28"/>
        </w:rPr>
        <w:t xml:space="preserve">for </w:t>
      </w:r>
      <w:r w:rsidRPr="00B31D29">
        <w:rPr>
          <w:sz w:val="28"/>
        </w:rPr>
        <w:t>deceiving voters</w:t>
      </w:r>
      <w:r w:rsidR="008D101F" w:rsidRPr="00B31D29">
        <w:rPr>
          <w:sz w:val="28"/>
        </w:rPr>
        <w:t xml:space="preserve">, as </w:t>
      </w:r>
      <w:r w:rsidRPr="00B31D29">
        <w:rPr>
          <w:sz w:val="28"/>
        </w:rPr>
        <w:t>users may not expect to see political ads in an entertainment context. Th</w:t>
      </w:r>
      <w:r w:rsidR="008D101F" w:rsidRPr="00B31D29">
        <w:rPr>
          <w:sz w:val="28"/>
        </w:rPr>
        <w:t>is</w:t>
      </w:r>
      <w:r w:rsidRPr="00B31D29">
        <w:rPr>
          <w:sz w:val="28"/>
        </w:rPr>
        <w:t xml:space="preserve"> potential for deception is </w:t>
      </w:r>
      <w:r w:rsidR="008D101F" w:rsidRPr="00B31D29">
        <w:rPr>
          <w:sz w:val="28"/>
        </w:rPr>
        <w:t xml:space="preserve">further </w:t>
      </w:r>
      <w:r w:rsidRPr="00B31D29">
        <w:rPr>
          <w:sz w:val="28"/>
        </w:rPr>
        <w:t xml:space="preserve">amplified </w:t>
      </w:r>
      <w:r w:rsidR="008D101F" w:rsidRPr="00B31D29">
        <w:rPr>
          <w:sz w:val="28"/>
        </w:rPr>
        <w:t xml:space="preserve">when </w:t>
      </w:r>
      <w:r w:rsidRPr="00B31D29">
        <w:rPr>
          <w:sz w:val="28"/>
        </w:rPr>
        <w:t xml:space="preserve">the ads are run on mobile platforms that </w:t>
      </w:r>
      <w:r w:rsidR="002E7109" w:rsidRPr="00B31D29">
        <w:rPr>
          <w:sz w:val="28"/>
        </w:rPr>
        <w:t xml:space="preserve">might not </w:t>
      </w:r>
      <w:r w:rsidRPr="00B31D29">
        <w:rPr>
          <w:sz w:val="28"/>
        </w:rPr>
        <w:t xml:space="preserve">feature a disclaimer because of the small-items or impracticable exceptions. Such ads would have several layers of deception: not only would users not know who paid for </w:t>
      </w:r>
      <w:r w:rsidR="008D101F" w:rsidRPr="00B31D29">
        <w:rPr>
          <w:sz w:val="28"/>
        </w:rPr>
        <w:t xml:space="preserve">an </w:t>
      </w:r>
      <w:r w:rsidRPr="00B31D29">
        <w:rPr>
          <w:sz w:val="28"/>
        </w:rPr>
        <w:t>ad, but they</w:t>
      </w:r>
      <w:r w:rsidR="00D24A61" w:rsidRPr="00B31D29">
        <w:rPr>
          <w:sz w:val="28"/>
        </w:rPr>
        <w:t xml:space="preserve"> also</w:t>
      </w:r>
      <w:r w:rsidRPr="00B31D29">
        <w:rPr>
          <w:sz w:val="28"/>
        </w:rPr>
        <w:t xml:space="preserve"> may not realize that </w:t>
      </w:r>
      <w:r w:rsidR="008D101F" w:rsidRPr="00B31D29">
        <w:rPr>
          <w:sz w:val="28"/>
        </w:rPr>
        <w:t xml:space="preserve">a </w:t>
      </w:r>
      <w:r w:rsidRPr="00B31D29">
        <w:rPr>
          <w:sz w:val="28"/>
        </w:rPr>
        <w:t>mini-game</w:t>
      </w:r>
      <w:r w:rsidR="008D101F" w:rsidRPr="00B31D29">
        <w:rPr>
          <w:sz w:val="28"/>
        </w:rPr>
        <w:t>, for example, is</w:t>
      </w:r>
      <w:r w:rsidRPr="00B31D29">
        <w:rPr>
          <w:sz w:val="28"/>
        </w:rPr>
        <w:t xml:space="preserve"> </w:t>
      </w:r>
      <w:r w:rsidR="008D101F" w:rsidRPr="00B31D29">
        <w:rPr>
          <w:sz w:val="28"/>
        </w:rPr>
        <w:t xml:space="preserve">even an </w:t>
      </w:r>
      <w:r w:rsidRPr="00B31D29">
        <w:rPr>
          <w:sz w:val="28"/>
        </w:rPr>
        <w:t>ad at all. Furthermore, many gamers are young and may be particularly prone to being deceived..</w:t>
      </w:r>
      <w:r w:rsidRPr="00B31D29">
        <w:rPr>
          <w:rStyle w:val="NoterefInText"/>
          <w:sz w:val="18"/>
        </w:rPr>
        <w:footnoteReference w:id="208"/>
      </w:r>
      <w:r w:rsidRPr="00B31D29">
        <w:rPr>
          <w:sz w:val="28"/>
        </w:rPr>
        <w:t xml:space="preserve"> </w:t>
      </w:r>
      <w:r w:rsidR="002E7109" w:rsidRPr="00B31D29">
        <w:rPr>
          <w:sz w:val="28"/>
        </w:rPr>
        <w:t>I</w:t>
      </w:r>
      <w:r w:rsidRPr="00B31D29">
        <w:rPr>
          <w:sz w:val="28"/>
        </w:rPr>
        <w:t xml:space="preserve">t has been difficult to find information regarding what disclaimers, if any, Zynga </w:t>
      </w:r>
      <w:r w:rsidR="00C864A8" w:rsidRPr="00B31D29">
        <w:rPr>
          <w:sz w:val="28"/>
        </w:rPr>
        <w:t xml:space="preserve">has </w:t>
      </w:r>
      <w:r w:rsidRPr="00B31D29">
        <w:rPr>
          <w:sz w:val="28"/>
        </w:rPr>
        <w:t>use</w:t>
      </w:r>
      <w:r w:rsidR="00C864A8" w:rsidRPr="00B31D29">
        <w:rPr>
          <w:sz w:val="28"/>
        </w:rPr>
        <w:t>d</w:t>
      </w:r>
      <w:r w:rsidRPr="00B31D29">
        <w:rPr>
          <w:sz w:val="28"/>
        </w:rPr>
        <w:t xml:space="preserve"> on its mobile political games. There</w:t>
      </w:r>
      <w:r w:rsidR="00E018D5" w:rsidRPr="00B31D29">
        <w:rPr>
          <w:sz w:val="28"/>
        </w:rPr>
        <w:t xml:space="preserve"> </w:t>
      </w:r>
      <w:r w:rsidRPr="00B31D29">
        <w:rPr>
          <w:sz w:val="28"/>
        </w:rPr>
        <w:t xml:space="preserve">also </w:t>
      </w:r>
      <w:r w:rsidR="00015AE6" w:rsidRPr="00B31D29">
        <w:rPr>
          <w:sz w:val="28"/>
        </w:rPr>
        <w:t xml:space="preserve">appears to be </w:t>
      </w:r>
      <w:r w:rsidRPr="00B31D29">
        <w:rPr>
          <w:sz w:val="28"/>
        </w:rPr>
        <w:t>no data</w:t>
      </w:r>
      <w:r w:rsidR="00533A12" w:rsidRPr="00B31D29">
        <w:rPr>
          <w:sz w:val="28"/>
        </w:rPr>
        <w:t xml:space="preserve"> </w:t>
      </w:r>
      <w:r w:rsidRPr="00B31D29">
        <w:rPr>
          <w:sz w:val="28"/>
        </w:rPr>
        <w:t xml:space="preserve">showing whether these ads were used by candidates during the 2016 election cycle. </w:t>
      </w:r>
      <w:r w:rsidR="002E7109" w:rsidRPr="00B31D29">
        <w:rPr>
          <w:sz w:val="28"/>
        </w:rPr>
        <w:t>But g</w:t>
      </w:r>
      <w:r w:rsidR="00B272AC" w:rsidRPr="00B31D29">
        <w:rPr>
          <w:sz w:val="28"/>
        </w:rPr>
        <w:t>iven that the Obama campaign was interested in video games as early as 2008, and use of digital advertising has only grown since then, i</w:t>
      </w:r>
      <w:r w:rsidRPr="00B31D29">
        <w:rPr>
          <w:sz w:val="28"/>
        </w:rPr>
        <w:t xml:space="preserve">t is not hard to imagine that candidates </w:t>
      </w:r>
      <w:r w:rsidR="00B272AC" w:rsidRPr="00B31D29">
        <w:rPr>
          <w:sz w:val="28"/>
        </w:rPr>
        <w:t xml:space="preserve">did and will </w:t>
      </w:r>
      <w:r w:rsidRPr="00B31D29">
        <w:rPr>
          <w:sz w:val="28"/>
        </w:rPr>
        <w:t>continue to turn to such creative formats</w:t>
      </w:r>
      <w:r w:rsidR="00B272AC" w:rsidRPr="00B31D29">
        <w:rPr>
          <w:sz w:val="28"/>
        </w:rPr>
        <w:t xml:space="preserve"> in order</w:t>
      </w:r>
      <w:r w:rsidRPr="00B31D29">
        <w:rPr>
          <w:sz w:val="28"/>
        </w:rPr>
        <w:t xml:space="preserve"> to </w:t>
      </w:r>
      <w:r w:rsidR="00B272AC" w:rsidRPr="00B31D29">
        <w:rPr>
          <w:sz w:val="28"/>
        </w:rPr>
        <w:t xml:space="preserve">meet the challenge of </w:t>
      </w:r>
      <w:r w:rsidRPr="00B31D29">
        <w:rPr>
          <w:sz w:val="28"/>
        </w:rPr>
        <w:t>engag</w:t>
      </w:r>
      <w:r w:rsidR="00B272AC" w:rsidRPr="00B31D29">
        <w:rPr>
          <w:sz w:val="28"/>
        </w:rPr>
        <w:t>ing</w:t>
      </w:r>
      <w:r w:rsidRPr="00B31D29">
        <w:rPr>
          <w:sz w:val="28"/>
        </w:rPr>
        <w:t xml:space="preserve"> young voters</w:t>
      </w:r>
      <w:r w:rsidR="00B272AC" w:rsidRPr="00B31D29">
        <w:rPr>
          <w:sz w:val="28"/>
        </w:rPr>
        <w:t>.</w:t>
      </w:r>
      <w:r w:rsidR="00B272AC" w:rsidRPr="00B31D29">
        <w:rPr>
          <w:rStyle w:val="NoterefInText"/>
          <w:sz w:val="18"/>
        </w:rPr>
        <w:footnoteReference w:id="209"/>
      </w:r>
      <w:r w:rsidRPr="00B31D29">
        <w:rPr>
          <w:sz w:val="28"/>
        </w:rPr>
        <w:t xml:space="preserve"> Advertisers like Revolution Messaging have already requested an exemption from the FEC for mobile </w:t>
      </w:r>
      <w:r w:rsidRPr="00B31D29">
        <w:rPr>
          <w:sz w:val="28"/>
        </w:rPr>
        <w:lastRenderedPageBreak/>
        <w:t>ads</w:t>
      </w:r>
      <w:r w:rsidR="00B272AC" w:rsidRPr="00B31D29">
        <w:rPr>
          <w:sz w:val="28"/>
        </w:rPr>
        <w:t>, and</w:t>
      </w:r>
      <w:r w:rsidRPr="00B31D29">
        <w:rPr>
          <w:sz w:val="28"/>
        </w:rPr>
        <w:t xml:space="preserve"> others are likely to follow.</w:t>
      </w:r>
      <w:r w:rsidR="00F52784" w:rsidRPr="00B31D29">
        <w:rPr>
          <w:rStyle w:val="FootnoteReference"/>
          <w:sz w:val="28"/>
        </w:rPr>
        <w:footnoteReference w:id="210"/>
      </w:r>
      <w:r w:rsidRPr="00B31D29">
        <w:rPr>
          <w:sz w:val="28"/>
        </w:rPr>
        <w:t xml:space="preserve"> Since the FTC can do nothing to help make native ads more transparent, the FEC should do its part. Closing the small-items and impracticable loopholes would be an important first step</w:t>
      </w:r>
      <w:r w:rsidR="00B272AC" w:rsidRPr="00B31D29">
        <w:rPr>
          <w:sz w:val="28"/>
        </w:rPr>
        <w:t>,</w:t>
      </w:r>
      <w:r w:rsidRPr="00B31D29">
        <w:rPr>
          <w:sz w:val="28"/>
        </w:rPr>
        <w:t xml:space="preserve"> since inherently deceptive native ads are especially likely to deceive voters </w:t>
      </w:r>
      <w:r w:rsidR="00BC1B4D" w:rsidRPr="00B31D29">
        <w:rPr>
          <w:sz w:val="28"/>
        </w:rPr>
        <w:t xml:space="preserve">if </w:t>
      </w:r>
      <w:r w:rsidRPr="00B31D29">
        <w:rPr>
          <w:sz w:val="28"/>
        </w:rPr>
        <w:t>they are permitted to run without a disclaimer on “small” platforms such as mobile devices.</w:t>
      </w:r>
    </w:p>
    <w:p w14:paraId="6FF451A7" w14:textId="6BF70530" w:rsidR="005536CD" w:rsidRPr="00B31D29" w:rsidRDefault="005536CD" w:rsidP="00BA13DF">
      <w:pPr>
        <w:pStyle w:val="SubHead2"/>
        <w:outlineLvl w:val="1"/>
        <w:rPr>
          <w:sz w:val="28"/>
        </w:rPr>
      </w:pPr>
      <w:bookmarkStart w:id="45" w:name="_Toc504798763"/>
      <w:r w:rsidRPr="00B31D29">
        <w:rPr>
          <w:sz w:val="28"/>
        </w:rPr>
        <w:t>C.  Potential for Self-Regulation by Online Platforms</w:t>
      </w:r>
      <w:bookmarkEnd w:id="45"/>
    </w:p>
    <w:p w14:paraId="0AED5F6B" w14:textId="09E520C1" w:rsidR="005536CD" w:rsidRPr="00B31D29" w:rsidRDefault="005536CD" w:rsidP="00637AD3">
      <w:pPr>
        <w:pStyle w:val="Document"/>
        <w:widowControl w:val="0"/>
        <w:rPr>
          <w:sz w:val="28"/>
        </w:rPr>
      </w:pPr>
      <w:r w:rsidRPr="00B31D29">
        <w:rPr>
          <w:sz w:val="28"/>
        </w:rPr>
        <w:t>Not everyone agrees that government agencies should intervene to make digital ads more transparent.</w:t>
      </w:r>
      <w:r w:rsidRPr="00B31D29">
        <w:rPr>
          <w:rStyle w:val="NoterefInText"/>
          <w:sz w:val="18"/>
        </w:rPr>
        <w:footnoteReference w:id="211"/>
      </w:r>
      <w:r w:rsidRPr="00B31D29">
        <w:rPr>
          <w:sz w:val="28"/>
        </w:rPr>
        <w:t xml:space="preserve"> Nathaniel Persily of Stanford Law School argues that online advertising is too difficult to regulate because the definition of what counts as media has become too vast</w:t>
      </w:r>
      <w:r w:rsidR="00B272AC" w:rsidRPr="00B31D29">
        <w:rPr>
          <w:sz w:val="28"/>
        </w:rPr>
        <w:t>,</w:t>
      </w:r>
      <w:r w:rsidRPr="00B31D29">
        <w:rPr>
          <w:sz w:val="28"/>
        </w:rPr>
        <w:t xml:space="preserve"> as social media, blogs, and digital content platforms have become key political messaging tools.</w:t>
      </w:r>
      <w:r w:rsidRPr="00B31D29">
        <w:rPr>
          <w:rStyle w:val="NoterefInText"/>
          <w:sz w:val="18"/>
        </w:rPr>
        <w:footnoteReference w:id="212"/>
      </w:r>
      <w:r w:rsidRPr="00B31D29">
        <w:rPr>
          <w:sz w:val="28"/>
        </w:rPr>
        <w:t xml:space="preserve"> Persily believes that in the digital era, </w:t>
      </w:r>
      <w:r w:rsidR="00B272AC" w:rsidRPr="00B31D29">
        <w:rPr>
          <w:sz w:val="28"/>
        </w:rPr>
        <w:t xml:space="preserve">it will not be government agencies, but rather </w:t>
      </w:r>
      <w:r w:rsidRPr="00B31D29">
        <w:rPr>
          <w:sz w:val="28"/>
        </w:rPr>
        <w:t>platforms</w:t>
      </w:r>
      <w:r w:rsidR="00B272AC" w:rsidRPr="00B31D29">
        <w:rPr>
          <w:sz w:val="28"/>
        </w:rPr>
        <w:t>—</w:t>
      </w:r>
      <w:r w:rsidRPr="00B31D29">
        <w:rPr>
          <w:sz w:val="28"/>
        </w:rPr>
        <w:t>particularly giants like Google and Facebook</w:t>
      </w:r>
      <w:r w:rsidR="00B272AC" w:rsidRPr="00B31D29">
        <w:rPr>
          <w:sz w:val="28"/>
        </w:rPr>
        <w:t xml:space="preserve">—that </w:t>
      </w:r>
      <w:r w:rsidR="00BC1B4D" w:rsidRPr="00B31D29">
        <w:rPr>
          <w:sz w:val="28"/>
        </w:rPr>
        <w:t xml:space="preserve">will </w:t>
      </w:r>
      <w:r w:rsidRPr="00B31D29">
        <w:rPr>
          <w:sz w:val="28"/>
        </w:rPr>
        <w:t>enforce regulations through their user policies</w:t>
      </w:r>
      <w:r w:rsidR="00B272AC" w:rsidRPr="00B31D29">
        <w:rPr>
          <w:sz w:val="28"/>
        </w:rPr>
        <w:t>,</w:t>
      </w:r>
      <w:r w:rsidRPr="00B31D29">
        <w:rPr>
          <w:sz w:val="28"/>
        </w:rPr>
        <w:t xml:space="preserve"> due to “business necessity and </w:t>
      </w:r>
      <w:r w:rsidR="00137A90" w:rsidRPr="00B31D29">
        <w:rPr>
          <w:sz w:val="28"/>
        </w:rPr>
        <w:t xml:space="preserve">[their] </w:t>
      </w:r>
      <w:r w:rsidRPr="00B31D29">
        <w:rPr>
          <w:sz w:val="28"/>
        </w:rPr>
        <w:t>sense of public obligation.”</w:t>
      </w:r>
      <w:r w:rsidRPr="00B31D29">
        <w:rPr>
          <w:rStyle w:val="NoterefInText"/>
          <w:sz w:val="18"/>
        </w:rPr>
        <w:footnoteReference w:id="213"/>
      </w:r>
      <w:r w:rsidRPr="00B31D29">
        <w:rPr>
          <w:sz w:val="28"/>
        </w:rPr>
        <w:t xml:space="preserve"> Unlike the government, technology platforms do not have to worry about violating the First Amendment by limiting certain kinds of speech.</w:t>
      </w:r>
      <w:r w:rsidRPr="00B31D29">
        <w:rPr>
          <w:rStyle w:val="NoterefInText"/>
          <w:sz w:val="18"/>
        </w:rPr>
        <w:footnoteReference w:id="214"/>
      </w:r>
      <w:r w:rsidRPr="00B31D29">
        <w:rPr>
          <w:sz w:val="28"/>
        </w:rPr>
        <w:t xml:space="preserve"> Persily posits that technology platforms could set guidelines mandating truthful advertising, require advertisers to disclose financial information </w:t>
      </w:r>
      <w:r w:rsidR="00C456AD" w:rsidRPr="00B31D29">
        <w:rPr>
          <w:sz w:val="28"/>
        </w:rPr>
        <w:t xml:space="preserve">to </w:t>
      </w:r>
      <w:r w:rsidRPr="00B31D29">
        <w:rPr>
          <w:sz w:val="28"/>
        </w:rPr>
        <w:t>be shared with users, and even set restrictions on the “sources and amounts of expenditures.”</w:t>
      </w:r>
      <w:r w:rsidRPr="00B31D29">
        <w:rPr>
          <w:rStyle w:val="NoterefInText"/>
          <w:sz w:val="18"/>
        </w:rPr>
        <w:footnoteReference w:id="215"/>
      </w:r>
      <w:r w:rsidRPr="00B31D29">
        <w:rPr>
          <w:sz w:val="28"/>
        </w:rPr>
        <w:t xml:space="preserve"> But even Persily admits that such requirements may not always be in the platforms’ “economic self-interest.”</w:t>
      </w:r>
      <w:r w:rsidRPr="00B31D29">
        <w:rPr>
          <w:rStyle w:val="NoterefInText"/>
          <w:sz w:val="18"/>
        </w:rPr>
        <w:footnoteReference w:id="216"/>
      </w:r>
    </w:p>
    <w:p w14:paraId="1EAF629B" w14:textId="68FB0A92" w:rsidR="00A60B86" w:rsidRPr="00B31D29" w:rsidRDefault="005536CD" w:rsidP="00BA13DF">
      <w:pPr>
        <w:pStyle w:val="Document"/>
        <w:widowControl w:val="0"/>
        <w:ind w:firstLine="446"/>
        <w:rPr>
          <w:sz w:val="28"/>
        </w:rPr>
      </w:pPr>
      <w:r w:rsidRPr="00B31D29">
        <w:rPr>
          <w:sz w:val="28"/>
        </w:rPr>
        <w:lastRenderedPageBreak/>
        <w:t>Some Internet platforms are taking proactive steps to promote disclosure.</w:t>
      </w:r>
      <w:r w:rsidR="00C456AD" w:rsidRPr="00B31D29">
        <w:rPr>
          <w:rStyle w:val="NoterefInText"/>
          <w:sz w:val="18"/>
        </w:rPr>
        <w:footnoteReference w:id="217"/>
      </w:r>
      <w:r w:rsidR="00C456AD" w:rsidRPr="00B31D29" w:rsidDel="00C456AD">
        <w:rPr>
          <w:rStyle w:val="FootnoteReference"/>
          <w:sz w:val="28"/>
        </w:rPr>
        <w:t xml:space="preserve"> </w:t>
      </w:r>
      <w:r w:rsidR="00C456AD" w:rsidRPr="00B31D29">
        <w:rPr>
          <w:sz w:val="28"/>
        </w:rPr>
        <w:t>Sn</w:t>
      </w:r>
      <w:r w:rsidRPr="00B31D29">
        <w:rPr>
          <w:sz w:val="28"/>
        </w:rPr>
        <w:t xml:space="preserve">apchat requires that political ads disclose the purchaser’s identity and state whether </w:t>
      </w:r>
      <w:r w:rsidR="00E9085E" w:rsidRPr="00B31D29">
        <w:rPr>
          <w:sz w:val="28"/>
        </w:rPr>
        <w:t>a candidate authorized them</w:t>
      </w:r>
      <w:r w:rsidRPr="00B31D29">
        <w:rPr>
          <w:sz w:val="28"/>
        </w:rPr>
        <w:t>.</w:t>
      </w:r>
      <w:r w:rsidRPr="00B31D29">
        <w:rPr>
          <w:rStyle w:val="NoterefInText"/>
          <w:sz w:val="18"/>
        </w:rPr>
        <w:footnoteReference w:id="218"/>
      </w:r>
      <w:r w:rsidRPr="00B31D29">
        <w:rPr>
          <w:sz w:val="28"/>
        </w:rPr>
        <w:t xml:space="preserve"> </w:t>
      </w:r>
      <w:r w:rsidR="00C7200E" w:rsidRPr="00B31D29">
        <w:rPr>
          <w:sz w:val="28"/>
        </w:rPr>
        <w:t>The buyers of u</w:t>
      </w:r>
      <w:r w:rsidRPr="00B31D29">
        <w:rPr>
          <w:sz w:val="28"/>
        </w:rPr>
        <w:t>nauthorized ads must provide Snapchat with contact information for the sponsoring organization.</w:t>
      </w:r>
      <w:r w:rsidRPr="00B31D29">
        <w:rPr>
          <w:rStyle w:val="NoterefInText"/>
          <w:sz w:val="18"/>
        </w:rPr>
        <w:footnoteReference w:id="219"/>
      </w:r>
      <w:r w:rsidRPr="00B31D29">
        <w:rPr>
          <w:sz w:val="28"/>
        </w:rPr>
        <w:t xml:space="preserve"> Snapchat also prohibits “misleading or deceptive” ads and requires that political advertisers abide by the website’s Terms of Service, Community Guidelines, and Advertising Guidelines.</w:t>
      </w:r>
      <w:r w:rsidRPr="00B31D29">
        <w:rPr>
          <w:rStyle w:val="NoterefInText"/>
          <w:sz w:val="18"/>
        </w:rPr>
        <w:footnoteReference w:id="220"/>
      </w:r>
      <w:r w:rsidR="007A27C9" w:rsidRPr="00B31D29">
        <w:rPr>
          <w:sz w:val="28"/>
        </w:rPr>
        <w:t xml:space="preserve"> Similarly, Twitter requires that political advertisers “comply with any applicable laws regarding disclosure and content requirements”</w:t>
      </w:r>
      <w:r w:rsidR="007A27C9" w:rsidRPr="00B31D29">
        <w:rPr>
          <w:rStyle w:val="NoterefInText"/>
          <w:sz w:val="18"/>
        </w:rPr>
        <w:footnoteReference w:id="221"/>
      </w:r>
      <w:r w:rsidR="007A27C9" w:rsidRPr="00B31D29">
        <w:rPr>
          <w:sz w:val="28"/>
        </w:rPr>
        <w:t xml:space="preserve"> and is proactive in using disclaimers.</w:t>
      </w:r>
      <w:r w:rsidR="007A27C9" w:rsidRPr="00B31D29">
        <w:rPr>
          <w:rStyle w:val="NoterefInText"/>
          <w:sz w:val="18"/>
        </w:rPr>
        <w:footnoteReference w:id="222"/>
      </w:r>
      <w:r w:rsidR="007A27C9" w:rsidRPr="00B31D29">
        <w:rPr>
          <w:sz w:val="28"/>
        </w:rPr>
        <w:t xml:space="preserve"> It labels political ads with a purple “Promoted by” icon to distinguish them from other content.</w:t>
      </w:r>
      <w:r w:rsidR="007A27C9" w:rsidRPr="00B31D29">
        <w:rPr>
          <w:rStyle w:val="NoterefInText"/>
          <w:sz w:val="18"/>
        </w:rPr>
        <w:footnoteReference w:id="223"/>
      </w:r>
      <w:r w:rsidR="007A27C9" w:rsidRPr="00B31D29">
        <w:rPr>
          <w:sz w:val="28"/>
        </w:rPr>
        <w:t xml:space="preserve"> </w:t>
      </w:r>
    </w:p>
    <w:p w14:paraId="4F724724" w14:textId="3B5A9CFB" w:rsidR="005536CD" w:rsidRPr="00B31D29" w:rsidRDefault="005536CD" w:rsidP="00637AD3">
      <w:pPr>
        <w:pStyle w:val="Document"/>
        <w:widowControl w:val="0"/>
        <w:rPr>
          <w:sz w:val="28"/>
        </w:rPr>
      </w:pPr>
      <w:r w:rsidRPr="00B31D29">
        <w:rPr>
          <w:sz w:val="28"/>
        </w:rPr>
        <w:t xml:space="preserve">Google’s policies, on the other hand, </w:t>
      </w:r>
      <w:r w:rsidR="0077610E" w:rsidRPr="00B31D29">
        <w:rPr>
          <w:sz w:val="28"/>
        </w:rPr>
        <w:t xml:space="preserve">currently </w:t>
      </w:r>
      <w:r w:rsidRPr="00B31D29">
        <w:rPr>
          <w:sz w:val="28"/>
        </w:rPr>
        <w:t xml:space="preserve">simply </w:t>
      </w:r>
      <w:r w:rsidRPr="00B31D29">
        <w:rPr>
          <w:sz w:val="28"/>
        </w:rPr>
        <w:lastRenderedPageBreak/>
        <w:t>state that advertisers must follow “</w:t>
      </w:r>
      <w:r w:rsidR="00077E6A" w:rsidRPr="00B31D29">
        <w:rPr>
          <w:sz w:val="28"/>
        </w:rPr>
        <w:t>local campaign and</w:t>
      </w:r>
      <w:r w:rsidR="00A60B86" w:rsidRPr="00B31D29">
        <w:rPr>
          <w:sz w:val="28"/>
        </w:rPr>
        <w:t xml:space="preserve"> election laws for any area the</w:t>
      </w:r>
      <w:r w:rsidR="00077E6A" w:rsidRPr="00B31D29">
        <w:rPr>
          <w:sz w:val="28"/>
        </w:rPr>
        <w:t xml:space="preserve"> ads target</w:t>
      </w:r>
      <w:r w:rsidR="00A60B86" w:rsidRPr="00B31D29">
        <w:rPr>
          <w:sz w:val="28"/>
        </w:rPr>
        <w:t>,</w:t>
      </w:r>
      <w:r w:rsidRPr="00B31D29">
        <w:rPr>
          <w:sz w:val="28"/>
        </w:rPr>
        <w:t xml:space="preserve">” </w:t>
      </w:r>
      <w:r w:rsidR="00A60B86" w:rsidRPr="00B31D29">
        <w:rPr>
          <w:sz w:val="28"/>
        </w:rPr>
        <w:t>including</w:t>
      </w:r>
      <w:r w:rsidRPr="00B31D29">
        <w:rPr>
          <w:sz w:val="28"/>
        </w:rPr>
        <w:t xml:space="preserve"> “election ‘silence periods.’”</w:t>
      </w:r>
      <w:r w:rsidRPr="00B31D29">
        <w:rPr>
          <w:rStyle w:val="NoterefInText"/>
          <w:sz w:val="18"/>
        </w:rPr>
        <w:footnoteReference w:id="224"/>
      </w:r>
      <w:r w:rsidRPr="00B31D29">
        <w:rPr>
          <w:sz w:val="28"/>
        </w:rPr>
        <w:t xml:space="preserve"> </w:t>
      </w:r>
      <w:r w:rsidR="00EE09A9" w:rsidRPr="00B31D29">
        <w:rPr>
          <w:sz w:val="28"/>
        </w:rPr>
        <w:t xml:space="preserve">However, Google plans to </w:t>
      </w:r>
      <w:r w:rsidR="00CC0762" w:rsidRPr="00B31D29">
        <w:rPr>
          <w:sz w:val="28"/>
        </w:rPr>
        <w:t xml:space="preserve">require election-related ads to </w:t>
      </w:r>
      <w:r w:rsidR="00CC47CB" w:rsidRPr="00B31D29">
        <w:rPr>
          <w:sz w:val="28"/>
        </w:rPr>
        <w:t>include a d</w:t>
      </w:r>
      <w:r w:rsidR="00EE09A9" w:rsidRPr="00B31D29">
        <w:rPr>
          <w:sz w:val="28"/>
        </w:rPr>
        <w:t xml:space="preserve">isclaimer that will </w:t>
      </w:r>
      <w:r w:rsidR="00CC0762" w:rsidRPr="00B31D29">
        <w:rPr>
          <w:sz w:val="28"/>
        </w:rPr>
        <w:t xml:space="preserve">appear when a user </w:t>
      </w:r>
      <w:r w:rsidR="00EE09A9" w:rsidRPr="00B31D29">
        <w:rPr>
          <w:sz w:val="28"/>
        </w:rPr>
        <w:t>hover</w:t>
      </w:r>
      <w:r w:rsidR="00CC0762" w:rsidRPr="00B31D29">
        <w:rPr>
          <w:sz w:val="28"/>
        </w:rPr>
        <w:t>s</w:t>
      </w:r>
      <w:r w:rsidR="00EE09A9" w:rsidRPr="00B31D29">
        <w:rPr>
          <w:sz w:val="28"/>
        </w:rPr>
        <w:t xml:space="preserve"> over </w:t>
      </w:r>
      <w:r w:rsidR="00CC47CB" w:rsidRPr="00B31D29">
        <w:rPr>
          <w:sz w:val="28"/>
        </w:rPr>
        <w:t xml:space="preserve">the </w:t>
      </w:r>
      <w:r w:rsidR="00982559" w:rsidRPr="00B31D29">
        <w:rPr>
          <w:sz w:val="28"/>
        </w:rPr>
        <w:t>content</w:t>
      </w:r>
      <w:r w:rsidR="00EE09A9" w:rsidRPr="00B31D29">
        <w:rPr>
          <w:sz w:val="28"/>
        </w:rPr>
        <w:t>.</w:t>
      </w:r>
      <w:r w:rsidR="008714AC" w:rsidRPr="00B31D29">
        <w:rPr>
          <w:rStyle w:val="NoterefInText"/>
          <w:sz w:val="18"/>
        </w:rPr>
        <w:footnoteReference w:id="225"/>
      </w:r>
      <w:r w:rsidR="008714AC" w:rsidRPr="00B31D29">
        <w:rPr>
          <w:sz w:val="28"/>
        </w:rPr>
        <w:t xml:space="preserve"> </w:t>
      </w:r>
      <w:r w:rsidRPr="00B31D29">
        <w:rPr>
          <w:sz w:val="28"/>
        </w:rPr>
        <w:t>Facebook</w:t>
      </w:r>
      <w:r w:rsidR="007C454B" w:rsidRPr="00B31D29">
        <w:rPr>
          <w:sz w:val="28"/>
        </w:rPr>
        <w:t>, meanwhile,</w:t>
      </w:r>
      <w:r w:rsidRPr="00B31D29">
        <w:rPr>
          <w:sz w:val="28"/>
        </w:rPr>
        <w:t xml:space="preserve"> does not mention disclosure in its “best practices” for election-related advertising</w:t>
      </w:r>
      <w:r w:rsidR="007C454B" w:rsidRPr="00B31D29">
        <w:rPr>
          <w:sz w:val="28"/>
        </w:rPr>
        <w:t>,</w:t>
      </w:r>
      <w:r w:rsidR="007C454B" w:rsidRPr="00B31D29">
        <w:rPr>
          <w:rStyle w:val="NoterefInText"/>
          <w:sz w:val="18"/>
        </w:rPr>
        <w:footnoteReference w:id="226"/>
      </w:r>
      <w:r w:rsidR="00811C87" w:rsidRPr="00B31D29">
        <w:rPr>
          <w:sz w:val="28"/>
        </w:rPr>
        <w:t xml:space="preserve"> but </w:t>
      </w:r>
      <w:r w:rsidR="007C454B" w:rsidRPr="00B31D29">
        <w:rPr>
          <w:sz w:val="28"/>
        </w:rPr>
        <w:t xml:space="preserve">it </w:t>
      </w:r>
      <w:r w:rsidR="00811C87" w:rsidRPr="00B31D29">
        <w:rPr>
          <w:sz w:val="28"/>
        </w:rPr>
        <w:t>has plans to introduce “Paid for by” disclaimers for “election-related ads.”</w:t>
      </w:r>
      <w:r w:rsidRPr="00B31D29">
        <w:rPr>
          <w:rStyle w:val="NoterefInText"/>
          <w:sz w:val="18"/>
        </w:rPr>
        <w:footnoteReference w:id="227"/>
      </w:r>
      <w:r w:rsidR="00BC1B4D" w:rsidRPr="00B31D29">
        <w:rPr>
          <w:sz w:val="28"/>
        </w:rPr>
        <w:t xml:space="preserve"> </w:t>
      </w:r>
      <w:r w:rsidRPr="00B31D29">
        <w:rPr>
          <w:sz w:val="28"/>
        </w:rPr>
        <w:t>Zynga does not include specific details regarding political advertising on its website</w:t>
      </w:r>
      <w:r w:rsidR="007C454B" w:rsidRPr="00B31D29">
        <w:rPr>
          <w:sz w:val="28"/>
        </w:rPr>
        <w:t>,</w:t>
      </w:r>
      <w:r w:rsidRPr="00B31D29">
        <w:rPr>
          <w:sz w:val="28"/>
        </w:rPr>
        <w:t xml:space="preserve"> in spite of its push into the arena.</w:t>
      </w:r>
      <w:r w:rsidRPr="00B31D29">
        <w:rPr>
          <w:rStyle w:val="NoterefInText"/>
          <w:sz w:val="18"/>
        </w:rPr>
        <w:footnoteReference w:id="228"/>
      </w:r>
    </w:p>
    <w:p w14:paraId="6E1FFD8D" w14:textId="0AF57839" w:rsidR="005536CD" w:rsidRPr="00B31D29" w:rsidRDefault="005536CD" w:rsidP="00637AD3">
      <w:pPr>
        <w:pStyle w:val="Document"/>
        <w:widowControl w:val="0"/>
        <w:rPr>
          <w:sz w:val="28"/>
        </w:rPr>
      </w:pPr>
      <w:r w:rsidRPr="00B31D29">
        <w:rPr>
          <w:sz w:val="28"/>
        </w:rPr>
        <w:t xml:space="preserve">Despite </w:t>
      </w:r>
      <w:r w:rsidR="00CB02A4" w:rsidRPr="00B31D29">
        <w:rPr>
          <w:sz w:val="28"/>
        </w:rPr>
        <w:t xml:space="preserve">the </w:t>
      </w:r>
      <w:r w:rsidRPr="00B31D29">
        <w:rPr>
          <w:sz w:val="28"/>
        </w:rPr>
        <w:t xml:space="preserve">encouraging steps taken by </w:t>
      </w:r>
      <w:r w:rsidR="00CB02A4" w:rsidRPr="00B31D29">
        <w:rPr>
          <w:sz w:val="28"/>
        </w:rPr>
        <w:t xml:space="preserve">some </w:t>
      </w:r>
      <w:r w:rsidRPr="00B31D29">
        <w:rPr>
          <w:sz w:val="28"/>
        </w:rPr>
        <w:t xml:space="preserve">technology companies, </w:t>
      </w:r>
      <w:r w:rsidR="00CB02A4" w:rsidRPr="00B31D29">
        <w:rPr>
          <w:sz w:val="28"/>
        </w:rPr>
        <w:t xml:space="preserve">it may be that </w:t>
      </w:r>
      <w:r w:rsidRPr="00B31D29">
        <w:rPr>
          <w:sz w:val="28"/>
        </w:rPr>
        <w:t>Facebook, Google, and Zynga do not</w:t>
      </w:r>
      <w:r w:rsidR="00811C87" w:rsidRPr="00B31D29">
        <w:rPr>
          <w:sz w:val="28"/>
        </w:rPr>
        <w:t xml:space="preserve">, thus far, </w:t>
      </w:r>
      <w:r w:rsidRPr="00B31D29">
        <w:rPr>
          <w:sz w:val="28"/>
        </w:rPr>
        <w:t>include more robust disclosure policies on their websites because, as Persily notes, such practices are not necessarily in the platforms’ immediate economic self-interest.</w:t>
      </w:r>
      <w:r w:rsidR="00656CF8" w:rsidRPr="00B31D29">
        <w:rPr>
          <w:rStyle w:val="FootnoteReference"/>
          <w:sz w:val="28"/>
        </w:rPr>
        <w:footnoteReference w:id="229"/>
      </w:r>
      <w:r w:rsidRPr="00B31D29">
        <w:rPr>
          <w:sz w:val="28"/>
        </w:rPr>
        <w:t xml:space="preserve"> Advertisers like native ads precisely because they do not look like ads</w:t>
      </w:r>
      <w:r w:rsidR="00CB02A4" w:rsidRPr="00B31D29">
        <w:rPr>
          <w:sz w:val="28"/>
        </w:rPr>
        <w:t>,</w:t>
      </w:r>
      <w:r w:rsidRPr="00B31D29">
        <w:rPr>
          <w:sz w:val="28"/>
        </w:rPr>
        <w:t xml:space="preserve"> and </w:t>
      </w:r>
      <w:r w:rsidR="00CB02A4" w:rsidRPr="00B31D29">
        <w:rPr>
          <w:sz w:val="28"/>
        </w:rPr>
        <w:t xml:space="preserve">they </w:t>
      </w:r>
      <w:r w:rsidRPr="00B31D29">
        <w:rPr>
          <w:sz w:val="28"/>
        </w:rPr>
        <w:t>are therefore less likely to be skipped, blocked</w:t>
      </w:r>
      <w:r w:rsidR="00096584" w:rsidRPr="00B31D29">
        <w:rPr>
          <w:sz w:val="28"/>
        </w:rPr>
        <w:t>,</w:t>
      </w:r>
      <w:r w:rsidRPr="00B31D29">
        <w:rPr>
          <w:sz w:val="28"/>
        </w:rPr>
        <w:t xml:space="preserve"> or ignored.</w:t>
      </w:r>
      <w:r w:rsidRPr="00B31D29">
        <w:rPr>
          <w:rStyle w:val="NoterefInText"/>
          <w:sz w:val="18"/>
        </w:rPr>
        <w:footnoteReference w:id="230"/>
      </w:r>
      <w:r w:rsidRPr="00B31D29">
        <w:rPr>
          <w:sz w:val="28"/>
        </w:rPr>
        <w:t xml:space="preserve"> When asked </w:t>
      </w:r>
      <w:r w:rsidR="00CB02A4" w:rsidRPr="00B31D29">
        <w:rPr>
          <w:sz w:val="28"/>
        </w:rPr>
        <w:t xml:space="preserve">to provide </w:t>
      </w:r>
      <w:r w:rsidRPr="00B31D29">
        <w:rPr>
          <w:sz w:val="28"/>
        </w:rPr>
        <w:t>more transparency, advertisers complain that the ads lose their effectiveness.</w:t>
      </w:r>
      <w:r w:rsidRPr="00B31D29">
        <w:rPr>
          <w:rStyle w:val="NoterefInText"/>
          <w:sz w:val="18"/>
        </w:rPr>
        <w:footnoteReference w:id="231"/>
      </w:r>
      <w:r w:rsidRPr="00B31D29">
        <w:rPr>
          <w:sz w:val="28"/>
        </w:rPr>
        <w:t xml:space="preserve"> Given that </w:t>
      </w:r>
      <w:r w:rsidRPr="00B31D29">
        <w:rPr>
          <w:sz w:val="28"/>
        </w:rPr>
        <w:lastRenderedPageBreak/>
        <w:t xml:space="preserve">advertisers and media platforms are </w:t>
      </w:r>
      <w:r w:rsidR="00CB02A4" w:rsidRPr="00B31D29">
        <w:rPr>
          <w:sz w:val="28"/>
        </w:rPr>
        <w:t xml:space="preserve">businesses </w:t>
      </w:r>
      <w:r w:rsidRPr="00B31D29">
        <w:rPr>
          <w:sz w:val="28"/>
        </w:rPr>
        <w:t xml:space="preserve">first and foremost, it </w:t>
      </w:r>
      <w:r w:rsidR="00CB02A4" w:rsidRPr="00B31D29">
        <w:rPr>
          <w:sz w:val="28"/>
        </w:rPr>
        <w:t xml:space="preserve">may </w:t>
      </w:r>
      <w:r w:rsidRPr="00B31D29">
        <w:rPr>
          <w:sz w:val="28"/>
        </w:rPr>
        <w:t xml:space="preserve">seem counterintuitive to create policies that would harm their potential advertising revenues. Yet more transparency </w:t>
      </w:r>
      <w:r w:rsidR="00BC1B4D" w:rsidRPr="00B31D29">
        <w:rPr>
          <w:sz w:val="28"/>
        </w:rPr>
        <w:t xml:space="preserve">does not necessarily conflict </w:t>
      </w:r>
      <w:r w:rsidRPr="00B31D29">
        <w:rPr>
          <w:sz w:val="28"/>
        </w:rPr>
        <w:t xml:space="preserve">with economic self-interest. Studies show that voters </w:t>
      </w:r>
      <w:r w:rsidRPr="00B31D29">
        <w:rPr>
          <w:i/>
          <w:sz w:val="28"/>
        </w:rPr>
        <w:t>want</w:t>
      </w:r>
      <w:r w:rsidRPr="00B31D29">
        <w:rPr>
          <w:sz w:val="28"/>
        </w:rPr>
        <w:t xml:space="preserve"> more transparency</w:t>
      </w:r>
      <w:r w:rsidR="002276AF" w:rsidRPr="00B31D29">
        <w:rPr>
          <w:sz w:val="28"/>
        </w:rPr>
        <w:t>,</w:t>
      </w:r>
      <w:r w:rsidRPr="00B31D29">
        <w:rPr>
          <w:rStyle w:val="NoterefInText"/>
          <w:sz w:val="18"/>
        </w:rPr>
        <w:footnoteReference w:id="232"/>
      </w:r>
      <w:r w:rsidRPr="00B31D29">
        <w:rPr>
          <w:sz w:val="28"/>
        </w:rPr>
        <w:t xml:space="preserve"> and in the context of non-political sponsored advertising, consumers feel deceived if they cannot distinguish an ad from editorial content.</w:t>
      </w:r>
      <w:r w:rsidRPr="00B31D29">
        <w:rPr>
          <w:rStyle w:val="NoterefInText"/>
          <w:sz w:val="18"/>
        </w:rPr>
        <w:footnoteReference w:id="233"/>
      </w:r>
      <w:r w:rsidRPr="00B31D29">
        <w:rPr>
          <w:sz w:val="28"/>
        </w:rPr>
        <w:t xml:space="preserve"> It is not a big stretch to assume that voters would feel similarly misled if they could not distinguish a political ad from an article or a game, especially since politics tend to stir up people’s most impassioned sentiments. Consumers are likely to be unhappy with a platform that they feel facilitates deceptive advertising or, at the least, is not as transparent as its competitors. So while more disclosure and disclaimers might hurt ad revenue in the short</w:t>
      </w:r>
      <w:r w:rsidR="00F87926" w:rsidRPr="00B31D29">
        <w:rPr>
          <w:sz w:val="28"/>
        </w:rPr>
        <w:t xml:space="preserve"> </w:t>
      </w:r>
      <w:r w:rsidRPr="00B31D29">
        <w:rPr>
          <w:sz w:val="28"/>
        </w:rPr>
        <w:t>term, in the long</w:t>
      </w:r>
      <w:r w:rsidR="00F87926" w:rsidRPr="00B31D29">
        <w:rPr>
          <w:sz w:val="28"/>
        </w:rPr>
        <w:t xml:space="preserve"> </w:t>
      </w:r>
      <w:r w:rsidRPr="00B31D29">
        <w:rPr>
          <w:sz w:val="28"/>
        </w:rPr>
        <w:t>run transparency is likely to be more beneficial to the platforms than the alternative of angering and alienating users.</w:t>
      </w:r>
    </w:p>
    <w:p w14:paraId="5C4F0361" w14:textId="76C27037" w:rsidR="005536CD" w:rsidRPr="00B31D29" w:rsidRDefault="005536CD" w:rsidP="003A4B18">
      <w:pPr>
        <w:pStyle w:val="Document"/>
        <w:widowControl w:val="0"/>
        <w:rPr>
          <w:sz w:val="28"/>
        </w:rPr>
      </w:pPr>
      <w:r w:rsidRPr="00B31D29">
        <w:rPr>
          <w:sz w:val="28"/>
        </w:rPr>
        <w:t xml:space="preserve">But willingness or even desire </w:t>
      </w:r>
      <w:r w:rsidR="00F87926" w:rsidRPr="00B31D29">
        <w:rPr>
          <w:sz w:val="28"/>
        </w:rPr>
        <w:t xml:space="preserve">of </w:t>
      </w:r>
      <w:r w:rsidRPr="00B31D29">
        <w:rPr>
          <w:sz w:val="28"/>
        </w:rPr>
        <w:t>Internet platforms to self-regulate do</w:t>
      </w:r>
      <w:r w:rsidR="00757463" w:rsidRPr="00B31D29">
        <w:rPr>
          <w:sz w:val="28"/>
        </w:rPr>
        <w:t>es</w:t>
      </w:r>
      <w:r w:rsidRPr="00B31D29">
        <w:rPr>
          <w:sz w:val="28"/>
        </w:rPr>
        <w:t xml:space="preserve"> not diminish the need for a revised rulemaking by the FEC. In fact, when the FEC opened the matter for comment in 2011, Facebook encouraged the Commission to revise the existing rules.</w:t>
      </w:r>
      <w:r w:rsidRPr="00B31D29">
        <w:rPr>
          <w:rStyle w:val="NoterefInText"/>
          <w:sz w:val="18"/>
        </w:rPr>
        <w:footnoteReference w:id="234"/>
      </w:r>
      <w:r w:rsidRPr="00B31D29">
        <w:rPr>
          <w:sz w:val="28"/>
        </w:rPr>
        <w:t xml:space="preserve"> Attorneys for Facebook pointed out that the Commission’s handling of Internet </w:t>
      </w:r>
      <w:r w:rsidR="00D77F09" w:rsidRPr="00B31D29">
        <w:rPr>
          <w:sz w:val="28"/>
        </w:rPr>
        <w:t>“</w:t>
      </w:r>
      <w:r w:rsidRPr="00B31D29">
        <w:rPr>
          <w:sz w:val="28"/>
        </w:rPr>
        <w:t>advertising has been unclea</w:t>
      </w:r>
      <w:r w:rsidR="003A4B18" w:rsidRPr="00B31D29">
        <w:rPr>
          <w:sz w:val="28"/>
        </w:rPr>
        <w:t>r—</w:t>
      </w:r>
      <w:r w:rsidRPr="00B31D29">
        <w:rPr>
          <w:sz w:val="28"/>
        </w:rPr>
        <w:t>to sellers of online advertising, to political committees and</w:t>
      </w:r>
      <w:r w:rsidR="00D77F09" w:rsidRPr="00B31D29">
        <w:rPr>
          <w:sz w:val="28"/>
        </w:rPr>
        <w:t xml:space="preserve"> . . . </w:t>
      </w:r>
      <w:r w:rsidRPr="00B31D29">
        <w:rPr>
          <w:sz w:val="28"/>
        </w:rPr>
        <w:t>to Members of Congress,” adding that “the Commission’s failure to provide a coherent approach to online political advertising has made it harder” for candidates to engage with voters.</w:t>
      </w:r>
      <w:r w:rsidRPr="00B31D29">
        <w:rPr>
          <w:rStyle w:val="NoterefInText"/>
          <w:sz w:val="18"/>
        </w:rPr>
        <w:footnoteReference w:id="235"/>
      </w:r>
      <w:r w:rsidRPr="00B31D29">
        <w:rPr>
          <w:sz w:val="28"/>
        </w:rPr>
        <w:t xml:space="preserve"> As Facebook’s comment suggests, a rulemaking by the FEC would help platforms adopt more robust disclosure policies, including disclaimer requirements, because they would have a better sense of what approaches </w:t>
      </w:r>
      <w:r w:rsidR="00A63E7D" w:rsidRPr="00B31D29">
        <w:rPr>
          <w:sz w:val="28"/>
        </w:rPr>
        <w:t xml:space="preserve">might </w:t>
      </w:r>
      <w:r w:rsidRPr="00B31D29">
        <w:rPr>
          <w:sz w:val="28"/>
        </w:rPr>
        <w:t xml:space="preserve">or </w:t>
      </w:r>
      <w:r w:rsidR="00A63E7D" w:rsidRPr="00B31D29">
        <w:rPr>
          <w:sz w:val="28"/>
        </w:rPr>
        <w:lastRenderedPageBreak/>
        <w:t xml:space="preserve">might </w:t>
      </w:r>
      <w:r w:rsidRPr="00B31D29">
        <w:rPr>
          <w:sz w:val="28"/>
        </w:rPr>
        <w:t xml:space="preserve">not pass muster with the FEC. </w:t>
      </w:r>
      <w:r w:rsidR="00A63E7D" w:rsidRPr="00B31D29">
        <w:rPr>
          <w:sz w:val="28"/>
        </w:rPr>
        <w:t>Similarly, i</w:t>
      </w:r>
      <w:r w:rsidR="00031144" w:rsidRPr="00B31D29">
        <w:rPr>
          <w:sz w:val="28"/>
        </w:rPr>
        <w:t xml:space="preserve">n 2017, </w:t>
      </w:r>
      <w:r w:rsidR="00CC47CB" w:rsidRPr="00B31D29">
        <w:rPr>
          <w:sz w:val="28"/>
        </w:rPr>
        <w:t xml:space="preserve">Google encouraged the FEC to update its rules to </w:t>
      </w:r>
      <w:r w:rsidR="004517F7" w:rsidRPr="00B31D29">
        <w:rPr>
          <w:sz w:val="28"/>
        </w:rPr>
        <w:t>“provide the clarity that campaigns and other political advertisers need to determine what disclaimers they are required to include.”</w:t>
      </w:r>
      <w:r w:rsidR="000A5531" w:rsidRPr="00B31D29">
        <w:rPr>
          <w:rStyle w:val="NoterefInText"/>
          <w:sz w:val="18"/>
        </w:rPr>
        <w:footnoteReference w:id="236"/>
      </w:r>
      <w:r w:rsidR="00E44163" w:rsidRPr="00B31D29">
        <w:rPr>
          <w:sz w:val="28"/>
        </w:rPr>
        <w:t xml:space="preserve"> </w:t>
      </w:r>
      <w:r w:rsidRPr="00B31D29">
        <w:rPr>
          <w:sz w:val="28"/>
        </w:rPr>
        <w:t xml:space="preserve">Facebook’s </w:t>
      </w:r>
      <w:r w:rsidR="00CC47CB" w:rsidRPr="00B31D29">
        <w:rPr>
          <w:sz w:val="28"/>
        </w:rPr>
        <w:t xml:space="preserve">and Google’s </w:t>
      </w:r>
      <w:r w:rsidRPr="00B31D29">
        <w:rPr>
          <w:sz w:val="28"/>
        </w:rPr>
        <w:t>sentiments echo Cynthia Bauerly’s argument that a rulemaking would give advertisers more general guidance than one-off advisory opinions that are limited to a particular set of facts.</w:t>
      </w:r>
      <w:r w:rsidRPr="00B31D29">
        <w:rPr>
          <w:rStyle w:val="NoterefInText"/>
          <w:sz w:val="18"/>
        </w:rPr>
        <w:footnoteReference w:id="237"/>
      </w:r>
    </w:p>
    <w:p w14:paraId="5E419580" w14:textId="3A92CFF6" w:rsidR="005536CD" w:rsidRPr="00B31D29" w:rsidRDefault="005536CD" w:rsidP="00BA13DF">
      <w:pPr>
        <w:pStyle w:val="SubHead2"/>
        <w:outlineLvl w:val="1"/>
        <w:rPr>
          <w:sz w:val="28"/>
        </w:rPr>
      </w:pPr>
      <w:bookmarkStart w:id="46" w:name="_Toc504798764"/>
      <w:r w:rsidRPr="00B31D29">
        <w:rPr>
          <w:sz w:val="28"/>
        </w:rPr>
        <w:t>D.  A Proposal for Closing the Loopholes</w:t>
      </w:r>
      <w:bookmarkEnd w:id="46"/>
    </w:p>
    <w:p w14:paraId="1511339B" w14:textId="701FCC14" w:rsidR="005536CD" w:rsidRPr="00B31D29" w:rsidRDefault="005536CD" w:rsidP="00637AD3">
      <w:pPr>
        <w:pStyle w:val="Document"/>
        <w:widowControl w:val="0"/>
        <w:rPr>
          <w:sz w:val="28"/>
        </w:rPr>
      </w:pPr>
      <w:r w:rsidRPr="00B31D29">
        <w:rPr>
          <w:sz w:val="28"/>
        </w:rPr>
        <w:t xml:space="preserve">While it is </w:t>
      </w:r>
      <w:r w:rsidR="00A63E7D" w:rsidRPr="00B31D29">
        <w:rPr>
          <w:sz w:val="28"/>
        </w:rPr>
        <w:t>admittedly im</w:t>
      </w:r>
      <w:r w:rsidRPr="00B31D29">
        <w:rPr>
          <w:sz w:val="28"/>
        </w:rPr>
        <w:t xml:space="preserve">possible to regulate all Internet communications, it </w:t>
      </w:r>
      <w:r w:rsidRPr="00B31D29">
        <w:rPr>
          <w:i/>
          <w:sz w:val="28"/>
        </w:rPr>
        <w:t>is</w:t>
      </w:r>
      <w:r w:rsidRPr="00B31D29">
        <w:rPr>
          <w:sz w:val="28"/>
        </w:rPr>
        <w:t xml:space="preserve"> possible to close unnecessary and outdated loop-holes like the small-items and impracticable exceptions</w:t>
      </w:r>
      <w:r w:rsidR="00A63E7D" w:rsidRPr="00B31D29">
        <w:rPr>
          <w:sz w:val="28"/>
        </w:rPr>
        <w:t>,</w:t>
      </w:r>
      <w:r w:rsidRPr="00B31D29">
        <w:rPr>
          <w:sz w:val="28"/>
        </w:rPr>
        <w:t xml:space="preserve"> </w:t>
      </w:r>
      <w:r w:rsidR="00A63E7D" w:rsidRPr="00B31D29">
        <w:rPr>
          <w:sz w:val="28"/>
        </w:rPr>
        <w:t xml:space="preserve">which </w:t>
      </w:r>
      <w:r w:rsidRPr="00B31D29">
        <w:rPr>
          <w:sz w:val="28"/>
        </w:rPr>
        <w:t xml:space="preserve">are particularly problematic in a world where the line between ads and content continues to blur. As discussed earlier, empirical studies suggest that disclaimers can support the informational interest </w:t>
      </w:r>
      <w:r w:rsidR="00EF5982" w:rsidRPr="00B31D29">
        <w:rPr>
          <w:sz w:val="28"/>
        </w:rPr>
        <w:t>identified as important by the</w:t>
      </w:r>
      <w:r w:rsidRPr="00B31D29">
        <w:rPr>
          <w:sz w:val="28"/>
        </w:rPr>
        <w:t xml:space="preserve"> Supreme Court</w:t>
      </w:r>
      <w:r w:rsidR="00A63E7D" w:rsidRPr="00B31D29">
        <w:rPr>
          <w:sz w:val="28"/>
        </w:rPr>
        <w:t>,</w:t>
      </w:r>
      <w:r w:rsidRPr="00B31D29">
        <w:rPr>
          <w:sz w:val="28"/>
        </w:rPr>
        <w:t xml:space="preserve"> shaping voter perception and perhaps even helping voters </w:t>
      </w:r>
      <w:r w:rsidR="00A63E7D" w:rsidRPr="00B31D29">
        <w:rPr>
          <w:sz w:val="28"/>
        </w:rPr>
        <w:t xml:space="preserve">to </w:t>
      </w:r>
      <w:r w:rsidRPr="00B31D29">
        <w:rPr>
          <w:sz w:val="28"/>
        </w:rPr>
        <w:t>make better decisions.</w:t>
      </w:r>
      <w:r w:rsidR="00F07028" w:rsidRPr="00B31D29">
        <w:rPr>
          <w:rStyle w:val="FootnoteReference"/>
          <w:sz w:val="28"/>
        </w:rPr>
        <w:footnoteReference w:id="238"/>
      </w:r>
      <w:r w:rsidRPr="00B31D29">
        <w:rPr>
          <w:sz w:val="28"/>
        </w:rPr>
        <w:t xml:space="preserve"> As the Court stated in </w:t>
      </w:r>
      <w:r w:rsidRPr="00B31D29">
        <w:rPr>
          <w:i/>
          <w:sz w:val="28"/>
        </w:rPr>
        <w:t>Buckley</w:t>
      </w:r>
      <w:r w:rsidRPr="00B31D29">
        <w:rPr>
          <w:sz w:val="28"/>
        </w:rPr>
        <w:t xml:space="preserve">, providing </w:t>
      </w:r>
      <w:r w:rsidR="004C6C2F" w:rsidRPr="00B31D29">
        <w:rPr>
          <w:sz w:val="28"/>
        </w:rPr>
        <w:t xml:space="preserve">voters with </w:t>
      </w:r>
      <w:r w:rsidRPr="00B31D29">
        <w:rPr>
          <w:sz w:val="28"/>
        </w:rPr>
        <w:t>information about the source of campaign funding can create a more informed electorate</w:t>
      </w:r>
      <w:r w:rsidR="00757463" w:rsidRPr="00B31D29">
        <w:rPr>
          <w:sz w:val="28"/>
        </w:rPr>
        <w:t>,</w:t>
      </w:r>
      <w:r w:rsidR="00006561" w:rsidRPr="00B31D29">
        <w:rPr>
          <w:rStyle w:val="FootnoteReference"/>
          <w:sz w:val="28"/>
        </w:rPr>
        <w:footnoteReference w:id="239"/>
      </w:r>
      <w:r w:rsidRPr="00B31D29">
        <w:rPr>
          <w:sz w:val="28"/>
        </w:rPr>
        <w:t xml:space="preserve"> and the electorate cares about being informed.</w:t>
      </w:r>
      <w:r w:rsidRPr="00B31D29">
        <w:rPr>
          <w:rStyle w:val="NoterefInText"/>
          <w:sz w:val="18"/>
        </w:rPr>
        <w:footnoteReference w:id="240"/>
      </w:r>
      <w:r w:rsidRPr="00B31D29">
        <w:rPr>
          <w:sz w:val="28"/>
        </w:rPr>
        <w:t xml:space="preserve"> Digital platforms have the technological ability to include disclaimers</w:t>
      </w:r>
      <w:r w:rsidR="00757463" w:rsidRPr="00B31D29">
        <w:rPr>
          <w:sz w:val="28"/>
        </w:rPr>
        <w:t>,</w:t>
      </w:r>
      <w:r w:rsidRPr="00B31D29">
        <w:rPr>
          <w:sz w:val="28"/>
        </w:rPr>
        <w:t xml:space="preserve"> so there is no legitimate reason to grant them exceptions that other advertisers do not get.</w:t>
      </w:r>
    </w:p>
    <w:p w14:paraId="4FF58E8F" w14:textId="75B2A964" w:rsidR="005536CD" w:rsidRPr="00B31D29" w:rsidRDefault="005536CD" w:rsidP="00637AD3">
      <w:pPr>
        <w:pStyle w:val="Document"/>
        <w:widowControl w:val="0"/>
        <w:rPr>
          <w:sz w:val="28"/>
        </w:rPr>
      </w:pPr>
      <w:r w:rsidRPr="00B31D29">
        <w:rPr>
          <w:sz w:val="28"/>
        </w:rPr>
        <w:t>Nevertheless, in developing new rules the FEC should tread lightly</w:t>
      </w:r>
      <w:r w:rsidR="00A63E7D" w:rsidRPr="00B31D29">
        <w:rPr>
          <w:sz w:val="28"/>
        </w:rPr>
        <w:t>,</w:t>
      </w:r>
      <w:r w:rsidRPr="00B31D29">
        <w:rPr>
          <w:sz w:val="28"/>
        </w:rPr>
        <w:t xml:space="preserve"> to avoid interfering with innovation by imposing rigid regulations that would not only stifle creative invention but would quickly become obsolete as new platforms and technologies develop. California’s </w:t>
      </w:r>
      <w:r w:rsidRPr="00B31D29">
        <w:rPr>
          <w:sz w:val="28"/>
        </w:rPr>
        <w:lastRenderedPageBreak/>
        <w:t>approach is a particularly good model for the FEC to follow</w:t>
      </w:r>
      <w:r w:rsidR="004C6C2F" w:rsidRPr="00B31D29">
        <w:rPr>
          <w:sz w:val="28"/>
        </w:rPr>
        <w:t xml:space="preserve">, as it </w:t>
      </w:r>
      <w:r w:rsidRPr="00B31D29">
        <w:rPr>
          <w:sz w:val="28"/>
        </w:rPr>
        <w:t>gives platforms guidelines but respects their need to experiment with new methods and technologies.</w:t>
      </w:r>
      <w:r w:rsidR="00D23D13" w:rsidRPr="00B31D29">
        <w:rPr>
          <w:rStyle w:val="FootnoteReference"/>
          <w:sz w:val="28"/>
        </w:rPr>
        <w:footnoteReference w:id="241"/>
      </w:r>
    </w:p>
    <w:p w14:paraId="1A6AE835" w14:textId="7DE6581C" w:rsidR="005536CD" w:rsidRPr="00B31D29" w:rsidRDefault="005536CD" w:rsidP="00637AD3">
      <w:pPr>
        <w:pStyle w:val="Document"/>
        <w:widowControl w:val="0"/>
        <w:rPr>
          <w:sz w:val="28"/>
        </w:rPr>
      </w:pPr>
      <w:r w:rsidRPr="00B31D29">
        <w:rPr>
          <w:sz w:val="28"/>
        </w:rPr>
        <w:t xml:space="preserve">Like </w:t>
      </w:r>
      <w:r w:rsidR="004C6C2F" w:rsidRPr="00B31D29">
        <w:rPr>
          <w:sz w:val="28"/>
        </w:rPr>
        <w:t xml:space="preserve">the </w:t>
      </w:r>
      <w:r w:rsidRPr="00B31D29">
        <w:rPr>
          <w:sz w:val="28"/>
        </w:rPr>
        <w:t>California</w:t>
      </w:r>
      <w:r w:rsidR="004C6C2F" w:rsidRPr="00B31D29">
        <w:rPr>
          <w:sz w:val="28"/>
        </w:rPr>
        <w:t xml:space="preserve"> government</w:t>
      </w:r>
      <w:r w:rsidRPr="00B31D29">
        <w:rPr>
          <w:sz w:val="28"/>
        </w:rPr>
        <w:t xml:space="preserve">, the </w:t>
      </w:r>
      <w:r w:rsidR="004C6C2F" w:rsidRPr="00B31D29">
        <w:rPr>
          <w:sz w:val="28"/>
        </w:rPr>
        <w:t xml:space="preserve">FEC </w:t>
      </w:r>
      <w:r w:rsidRPr="00B31D29">
        <w:rPr>
          <w:sz w:val="28"/>
        </w:rPr>
        <w:t>should require that if an advertisement on an electronic, mobile</w:t>
      </w:r>
      <w:r w:rsidR="0096173F" w:rsidRPr="00B31D29">
        <w:rPr>
          <w:sz w:val="28"/>
        </w:rPr>
        <w:t>,</w:t>
      </w:r>
      <w:r w:rsidRPr="00B31D29">
        <w:rPr>
          <w:sz w:val="28"/>
        </w:rPr>
        <w:t xml:space="preserve"> or new media platform is limited in size, the ad should include a link to a landing page containing a comprehensive disclaimer. An advertisement should be considered limited in size if it is a small graphic ad, if it is a text ad containing 200 characters or less</w:t>
      </w:r>
      <w:r w:rsidR="0096173F" w:rsidRPr="00B31D29">
        <w:rPr>
          <w:sz w:val="28"/>
        </w:rPr>
        <w:t>,</w:t>
      </w:r>
      <w:r w:rsidRPr="00B31D29">
        <w:rPr>
          <w:sz w:val="28"/>
        </w:rPr>
        <w:t xml:space="preserve"> or if the text of a full disclaimer would contain more characters than the text of the advertisement itself.</w:t>
      </w:r>
      <w:r w:rsidRPr="00B31D29">
        <w:rPr>
          <w:rStyle w:val="NoterefInText"/>
          <w:sz w:val="18"/>
        </w:rPr>
        <w:footnoteReference w:id="242"/>
      </w:r>
      <w:r w:rsidRPr="00B31D29">
        <w:rPr>
          <w:sz w:val="28"/>
        </w:rPr>
        <w:t xml:space="preserve"> Although California considers ads to be limited in size at 500 characters or less, other states have set the limit at 200,</w:t>
      </w:r>
      <w:r w:rsidRPr="00B31D29">
        <w:rPr>
          <w:rStyle w:val="NoterefInText"/>
          <w:sz w:val="18"/>
        </w:rPr>
        <w:footnoteReference w:id="243"/>
      </w:r>
      <w:r w:rsidRPr="00B31D29">
        <w:rPr>
          <w:sz w:val="28"/>
        </w:rPr>
        <w:t xml:space="preserve"> closer to the size limitations </w:t>
      </w:r>
      <w:r w:rsidR="00122F81" w:rsidRPr="00B31D29">
        <w:rPr>
          <w:sz w:val="28"/>
        </w:rPr>
        <w:t xml:space="preserve">for text ads </w:t>
      </w:r>
      <w:r w:rsidRPr="00B31D29">
        <w:rPr>
          <w:sz w:val="28"/>
        </w:rPr>
        <w:t>set by advertisers like Google.</w:t>
      </w:r>
      <w:r w:rsidRPr="00B31D29">
        <w:rPr>
          <w:rStyle w:val="NoterefInText"/>
          <w:sz w:val="18"/>
        </w:rPr>
        <w:footnoteReference w:id="244"/>
      </w:r>
      <w:r w:rsidRPr="00B31D29">
        <w:rPr>
          <w:sz w:val="28"/>
        </w:rPr>
        <w:t xml:space="preserve"> If the advertisement uses a link instead of an embedded disclaimer, the link </w:t>
      </w:r>
      <w:r w:rsidR="00122F81" w:rsidRPr="00B31D29">
        <w:rPr>
          <w:sz w:val="28"/>
        </w:rPr>
        <w:t xml:space="preserve">should </w:t>
      </w:r>
      <w:r w:rsidRPr="00B31D29">
        <w:rPr>
          <w:sz w:val="28"/>
        </w:rPr>
        <w:t>be distinct from the rest of the advertisement so that it easily catches the user’s eye</w:t>
      </w:r>
      <w:r w:rsidR="00122F81" w:rsidRPr="00B31D29">
        <w:rPr>
          <w:sz w:val="28"/>
        </w:rPr>
        <w:t>;</w:t>
      </w:r>
      <w:r w:rsidRPr="00B31D29">
        <w:rPr>
          <w:sz w:val="28"/>
        </w:rPr>
        <w:t xml:space="preserve"> </w:t>
      </w:r>
      <w:r w:rsidR="00122F81" w:rsidRPr="00B31D29">
        <w:rPr>
          <w:sz w:val="28"/>
        </w:rPr>
        <w:t xml:space="preserve">this </w:t>
      </w:r>
      <w:r w:rsidRPr="00B31D29">
        <w:rPr>
          <w:sz w:val="28"/>
        </w:rPr>
        <w:t xml:space="preserve">can be accomplished by using a different font style or size, a contrasting color or an alternative distinguishing technique. The links </w:t>
      </w:r>
      <w:r w:rsidR="00122F81" w:rsidRPr="00B31D29">
        <w:rPr>
          <w:sz w:val="28"/>
        </w:rPr>
        <w:t xml:space="preserve">should </w:t>
      </w:r>
      <w:r w:rsidRPr="00B31D29">
        <w:rPr>
          <w:sz w:val="28"/>
        </w:rPr>
        <w:t>also contain some identifying information such as the name of the sponsoring group. As several of the FEC Commissioners noted in their concurrence in Google’s advisory opinion, link</w:t>
      </w:r>
      <w:r w:rsidR="00F23A96" w:rsidRPr="00B31D29">
        <w:rPr>
          <w:sz w:val="28"/>
        </w:rPr>
        <w:t>s</w:t>
      </w:r>
      <w:r w:rsidRPr="00B31D29">
        <w:rPr>
          <w:sz w:val="28"/>
        </w:rPr>
        <w:t xml:space="preserve"> </w:t>
      </w:r>
      <w:r w:rsidR="00F23A96" w:rsidRPr="00B31D29">
        <w:rPr>
          <w:sz w:val="28"/>
        </w:rPr>
        <w:t xml:space="preserve">themselves </w:t>
      </w:r>
      <w:r w:rsidRPr="00B31D29">
        <w:rPr>
          <w:sz w:val="28"/>
        </w:rPr>
        <w:t>can provide users with useful identifying information.</w:t>
      </w:r>
      <w:r w:rsidRPr="00B31D29">
        <w:rPr>
          <w:rStyle w:val="NoterefInText"/>
          <w:sz w:val="18"/>
        </w:rPr>
        <w:footnoteReference w:id="245"/>
      </w:r>
      <w:r w:rsidRPr="00B31D29">
        <w:rPr>
          <w:sz w:val="28"/>
        </w:rPr>
        <w:t xml:space="preserve"> However, since users may not always closely read the name of a link</w:t>
      </w:r>
      <w:r w:rsidR="00F23A96" w:rsidRPr="00B31D29">
        <w:rPr>
          <w:sz w:val="28"/>
        </w:rPr>
        <w:t>,</w:t>
      </w:r>
      <w:r w:rsidRPr="00B31D29">
        <w:rPr>
          <w:sz w:val="28"/>
        </w:rPr>
        <w:t xml:space="preserve"> even if it stands out from the contents of the advertisement, the links should be accompanied by a short introductory phrase such as “Ad,” “Provided by,” “Sponsored </w:t>
      </w:r>
      <w:r w:rsidR="00F23A96" w:rsidRPr="00B31D29">
        <w:rPr>
          <w:sz w:val="28"/>
        </w:rPr>
        <w:t>b</w:t>
      </w:r>
      <w:r w:rsidRPr="00B31D29">
        <w:rPr>
          <w:sz w:val="28"/>
        </w:rPr>
        <w:t>y</w:t>
      </w:r>
      <w:r w:rsidR="00F23A96" w:rsidRPr="00B31D29">
        <w:rPr>
          <w:sz w:val="28"/>
        </w:rPr>
        <w:t>,</w:t>
      </w:r>
      <w:r w:rsidRPr="00B31D29">
        <w:rPr>
          <w:sz w:val="28"/>
        </w:rPr>
        <w:t xml:space="preserve">” or another phrase clearly </w:t>
      </w:r>
      <w:r w:rsidRPr="00B31D29">
        <w:rPr>
          <w:sz w:val="28"/>
        </w:rPr>
        <w:lastRenderedPageBreak/>
        <w:t xml:space="preserve">indicating that the content is promotional. Space-limited advertisers should not find it overly burdensome to include </w:t>
      </w:r>
      <w:r w:rsidR="00F23A96" w:rsidRPr="00B31D29">
        <w:rPr>
          <w:sz w:val="28"/>
        </w:rPr>
        <w:t xml:space="preserve">such </w:t>
      </w:r>
      <w:r w:rsidRPr="00B31D29">
        <w:rPr>
          <w:sz w:val="28"/>
        </w:rPr>
        <w:t>a short phrase, as platforms have not found such requirements overly restrictive in the past. For instance, even Google’s space-restricted AdWords include a small shaded box with the word “Ad” to notify the user that the link is an advertisement.</w:t>
      </w:r>
    </w:p>
    <w:p w14:paraId="125AEE15" w14:textId="35C4DD13" w:rsidR="005536CD" w:rsidRPr="00B31D29" w:rsidRDefault="00224974" w:rsidP="00637AD3">
      <w:pPr>
        <w:pStyle w:val="Document"/>
        <w:widowControl w:val="0"/>
        <w:rPr>
          <w:sz w:val="28"/>
        </w:rPr>
      </w:pPr>
      <w:r w:rsidRPr="00B31D29">
        <w:rPr>
          <w:sz w:val="28"/>
        </w:rPr>
        <w:t xml:space="preserve">Although </w:t>
      </w:r>
      <w:r w:rsidR="00D52BF8" w:rsidRPr="00B31D29">
        <w:rPr>
          <w:sz w:val="28"/>
        </w:rPr>
        <w:t xml:space="preserve">providing </w:t>
      </w:r>
      <w:r w:rsidR="005536CD" w:rsidRPr="00B31D29">
        <w:rPr>
          <w:sz w:val="28"/>
        </w:rPr>
        <w:t>a link to a landing page is a reasonable disclaimer alternative</w:t>
      </w:r>
      <w:r w:rsidRPr="00B31D29">
        <w:rPr>
          <w:sz w:val="28"/>
        </w:rPr>
        <w:t xml:space="preserve"> in some cases,</w:t>
      </w:r>
      <w:r w:rsidR="005536CD" w:rsidRPr="00B31D29">
        <w:rPr>
          <w:sz w:val="28"/>
        </w:rPr>
        <w:t xml:space="preserve"> requiring that all platforms include a link would not be a sufficiently flexible solution; for some platforms, a link </w:t>
      </w:r>
      <w:r w:rsidR="00D52BF8" w:rsidRPr="00B31D29">
        <w:rPr>
          <w:sz w:val="28"/>
        </w:rPr>
        <w:t xml:space="preserve">is simply </w:t>
      </w:r>
      <w:r w:rsidR="005536CD" w:rsidRPr="00B31D29">
        <w:rPr>
          <w:sz w:val="28"/>
        </w:rPr>
        <w:t xml:space="preserve">not feasible. For instance, Snapchat is a contained mobile platform. Most likely, it would not be practical to include a link on a Snapchat advertisement because it would force the user to leave the application and go to a separate website. Given these limitations, in a revised rule the FEC should say that a rollover disclaimer is an acceptable alternative to a link for size-limited advertisements. In one of its unofficial draft opinions </w:t>
      </w:r>
      <w:r w:rsidR="00A64F1A" w:rsidRPr="00B31D29">
        <w:rPr>
          <w:sz w:val="28"/>
        </w:rPr>
        <w:t xml:space="preserve">regarding </w:t>
      </w:r>
      <w:r w:rsidR="005536CD" w:rsidRPr="00B31D29">
        <w:rPr>
          <w:sz w:val="28"/>
        </w:rPr>
        <w:t xml:space="preserve">Facebook, some FEC Commissioners indicated </w:t>
      </w:r>
      <w:r w:rsidR="00DB4DB6" w:rsidRPr="00B31D29">
        <w:rPr>
          <w:sz w:val="28"/>
        </w:rPr>
        <w:t xml:space="preserve">willingness to </w:t>
      </w:r>
      <w:r w:rsidR="00E52588" w:rsidRPr="00B31D29">
        <w:rPr>
          <w:sz w:val="28"/>
        </w:rPr>
        <w:t>approve</w:t>
      </w:r>
      <w:r w:rsidR="00DB4DB6" w:rsidRPr="00B31D29">
        <w:rPr>
          <w:sz w:val="28"/>
        </w:rPr>
        <w:t xml:space="preserve"> this </w:t>
      </w:r>
      <w:r w:rsidR="005536CD" w:rsidRPr="00B31D29">
        <w:rPr>
          <w:sz w:val="28"/>
        </w:rPr>
        <w:t>rollover</w:t>
      </w:r>
      <w:r w:rsidR="009B43EB" w:rsidRPr="00B31D29">
        <w:rPr>
          <w:sz w:val="28"/>
        </w:rPr>
        <w:t xml:space="preserve"> </w:t>
      </w:r>
      <w:r w:rsidR="005536CD" w:rsidRPr="00B31D29">
        <w:rPr>
          <w:sz w:val="28"/>
        </w:rPr>
        <w:t>option.</w:t>
      </w:r>
      <w:r w:rsidR="00A75496" w:rsidRPr="00B31D29">
        <w:rPr>
          <w:rStyle w:val="FootnoteReference"/>
          <w:sz w:val="28"/>
        </w:rPr>
        <w:footnoteReference w:id="246"/>
      </w:r>
      <w:r w:rsidR="005536CD" w:rsidRPr="00B31D29">
        <w:rPr>
          <w:sz w:val="28"/>
        </w:rPr>
        <w:t xml:space="preserve"> The FEC should take the next step to codify this language to give advertisers more clarity and assurance </w:t>
      </w:r>
      <w:r w:rsidR="00A64F1A" w:rsidRPr="00B31D29">
        <w:rPr>
          <w:sz w:val="28"/>
        </w:rPr>
        <w:t xml:space="preserve">when </w:t>
      </w:r>
      <w:r w:rsidR="005536CD" w:rsidRPr="00B31D29">
        <w:rPr>
          <w:sz w:val="28"/>
        </w:rPr>
        <w:t xml:space="preserve">designing alternative disclaimers. Rollover disclaimers, like the kind permitted in California, </w:t>
      </w:r>
      <w:r w:rsidR="00A64F1A" w:rsidRPr="00B31D29">
        <w:rPr>
          <w:sz w:val="28"/>
        </w:rPr>
        <w:t>w</w:t>
      </w:r>
      <w:r w:rsidR="005536CD" w:rsidRPr="00B31D29">
        <w:rPr>
          <w:sz w:val="28"/>
        </w:rPr>
        <w:t>ould let advertisers take advantage of the creative nature of native advertising while providing sponsor information to users who hover over the contents. Such rollover disclaimers must stay visible for a particular duration</w:t>
      </w:r>
      <w:r w:rsidR="00A64F1A" w:rsidRPr="00B31D29">
        <w:rPr>
          <w:sz w:val="28"/>
        </w:rPr>
        <w:t xml:space="preserve">: </w:t>
      </w:r>
      <w:r w:rsidR="005536CD" w:rsidRPr="00B31D29">
        <w:rPr>
          <w:sz w:val="28"/>
        </w:rPr>
        <w:t xml:space="preserve">California </w:t>
      </w:r>
      <w:r w:rsidR="00A64F1A" w:rsidRPr="00B31D29">
        <w:rPr>
          <w:sz w:val="28"/>
        </w:rPr>
        <w:t xml:space="preserve">requires </w:t>
      </w:r>
      <w:r w:rsidR="005536CD" w:rsidRPr="00B31D29">
        <w:rPr>
          <w:sz w:val="28"/>
        </w:rPr>
        <w:t>that rollover disclaimers remain visible for four seconds</w:t>
      </w:r>
      <w:r w:rsidR="00A64F1A" w:rsidRPr="00B31D29">
        <w:rPr>
          <w:sz w:val="28"/>
        </w:rPr>
        <w:t xml:space="preserve">, </w:t>
      </w:r>
      <w:r w:rsidR="005536CD" w:rsidRPr="00B31D29">
        <w:rPr>
          <w:sz w:val="28"/>
        </w:rPr>
        <w:t>which offers another specific reference point for the FEC to follow.</w:t>
      </w:r>
      <w:r w:rsidR="005536CD" w:rsidRPr="00B31D29">
        <w:rPr>
          <w:rStyle w:val="NoterefInText"/>
          <w:sz w:val="18"/>
        </w:rPr>
        <w:footnoteReference w:id="247"/>
      </w:r>
      <w:r w:rsidR="005536CD" w:rsidRPr="00B31D29">
        <w:rPr>
          <w:sz w:val="28"/>
        </w:rPr>
        <w:t xml:space="preserve"> But since some users may not realize that the advertisement has a rollover feature unless they hold their cursor over the contents, these ads should also have a short phrase like “Ad” or “Provided </w:t>
      </w:r>
      <w:r w:rsidR="00A64F1A" w:rsidRPr="00B31D29">
        <w:rPr>
          <w:sz w:val="28"/>
        </w:rPr>
        <w:t>b</w:t>
      </w:r>
      <w:r w:rsidR="005536CD" w:rsidRPr="00B31D29">
        <w:rPr>
          <w:sz w:val="28"/>
        </w:rPr>
        <w:t>y,” as outlined above, making the nature of the material</w:t>
      </w:r>
      <w:r w:rsidRPr="00B31D29">
        <w:rPr>
          <w:sz w:val="28"/>
        </w:rPr>
        <w:t xml:space="preserve"> clear to users</w:t>
      </w:r>
      <w:r w:rsidR="005536CD" w:rsidRPr="00B31D29">
        <w:rPr>
          <w:sz w:val="28"/>
        </w:rPr>
        <w:t>.</w:t>
      </w:r>
    </w:p>
    <w:p w14:paraId="456C5147" w14:textId="38C4668A" w:rsidR="005536CD" w:rsidRPr="00B31D29" w:rsidRDefault="005536CD" w:rsidP="00637AD3">
      <w:pPr>
        <w:pStyle w:val="Document"/>
        <w:widowControl w:val="0"/>
        <w:rPr>
          <w:sz w:val="28"/>
        </w:rPr>
      </w:pPr>
      <w:r w:rsidRPr="00B31D29">
        <w:rPr>
          <w:sz w:val="28"/>
        </w:rPr>
        <w:t xml:space="preserve">To accommodate technologies that might find both a link and a rollover option </w:t>
      </w:r>
      <w:r w:rsidR="0008430C" w:rsidRPr="00B31D29">
        <w:rPr>
          <w:sz w:val="28"/>
        </w:rPr>
        <w:t>impracticable</w:t>
      </w:r>
      <w:r w:rsidRPr="00B31D29">
        <w:rPr>
          <w:sz w:val="28"/>
        </w:rPr>
        <w:t xml:space="preserve">—including </w:t>
      </w:r>
      <w:r w:rsidRPr="00B31D29">
        <w:rPr>
          <w:sz w:val="28"/>
        </w:rPr>
        <w:lastRenderedPageBreak/>
        <w:t>technologies that have not yet been invented—the FEC</w:t>
      </w:r>
      <w:r w:rsidR="00373134" w:rsidRPr="00B31D29">
        <w:rPr>
          <w:sz w:val="28"/>
        </w:rPr>
        <w:t>, like California,</w:t>
      </w:r>
      <w:r w:rsidRPr="00B31D29">
        <w:rPr>
          <w:sz w:val="28"/>
        </w:rPr>
        <w:t xml:space="preserve"> should also include a broader statement in its rulemaking</w:t>
      </w:r>
      <w:r w:rsidR="00BF3799" w:rsidRPr="00B31D29">
        <w:rPr>
          <w:sz w:val="28"/>
        </w:rPr>
        <w:t>,</w:t>
      </w:r>
      <w:r w:rsidRPr="00B31D29">
        <w:rPr>
          <w:sz w:val="28"/>
        </w:rPr>
        <w:t xml:space="preserve"> allowing platforms to utilize other alternatives by including disclosure information through any other technological avenue that the platform chooses</w:t>
      </w:r>
      <w:r w:rsidR="00145419" w:rsidRPr="00B31D29">
        <w:rPr>
          <w:sz w:val="28"/>
        </w:rPr>
        <w:t>,</w:t>
      </w:r>
      <w:r w:rsidRPr="00B31D29">
        <w:rPr>
          <w:sz w:val="28"/>
        </w:rPr>
        <w:t xml:space="preserve"> </w:t>
      </w:r>
      <w:r w:rsidR="00145419" w:rsidRPr="00B31D29">
        <w:rPr>
          <w:sz w:val="28"/>
        </w:rPr>
        <w:t xml:space="preserve">so </w:t>
      </w:r>
      <w:r w:rsidRPr="00B31D29">
        <w:rPr>
          <w:sz w:val="28"/>
        </w:rPr>
        <w:t>long as the content is clearly labeled as an ad and the chosen method provides users with full disclosure information</w:t>
      </w:r>
      <w:r w:rsidR="00145419" w:rsidRPr="00B31D29">
        <w:rPr>
          <w:sz w:val="28"/>
        </w:rPr>
        <w:t>,</w:t>
      </w:r>
      <w:r w:rsidRPr="00B31D29">
        <w:rPr>
          <w:sz w:val="28"/>
        </w:rPr>
        <w:t xml:space="preserve"> visible for at least four seconds. Offering technological platforms two specific ways of complying with disclosure requirements while also leaving the door open for companies to devise their own methods strikes a balance</w:t>
      </w:r>
      <w:r w:rsidR="00145419" w:rsidRPr="00B31D29">
        <w:rPr>
          <w:sz w:val="28"/>
        </w:rPr>
        <w:t>,</w:t>
      </w:r>
      <w:r w:rsidRPr="00B31D29">
        <w:rPr>
          <w:sz w:val="28"/>
        </w:rPr>
        <w:t xml:space="preserve"> protecting the public’s need for information and transparency without stifling the technology sector’s ability to grow, develop, and exercise creative and business choices. But in order for these alternatives to provide users with adequate notice, regardless of which option a platform and </w:t>
      </w:r>
      <w:r w:rsidR="00145419" w:rsidRPr="00B31D29">
        <w:rPr>
          <w:sz w:val="28"/>
        </w:rPr>
        <w:t xml:space="preserve">a </w:t>
      </w:r>
      <w:r w:rsidRPr="00B31D29">
        <w:rPr>
          <w:sz w:val="28"/>
        </w:rPr>
        <w:t xml:space="preserve">campaign </w:t>
      </w:r>
      <w:r w:rsidR="00145419" w:rsidRPr="00B31D29">
        <w:rPr>
          <w:sz w:val="28"/>
        </w:rPr>
        <w:t xml:space="preserve">may </w:t>
      </w:r>
      <w:r w:rsidRPr="00B31D29">
        <w:rPr>
          <w:sz w:val="28"/>
        </w:rPr>
        <w:t>choose, the FEC must require that advertisers make it very clear that the content is promotional by placing a small disclaimer in the content</w:t>
      </w:r>
      <w:r w:rsidR="004B5201" w:rsidRPr="00B31D29">
        <w:rPr>
          <w:sz w:val="28"/>
        </w:rPr>
        <w:t xml:space="preserve">, which </w:t>
      </w:r>
      <w:r w:rsidRPr="00B31D29">
        <w:rPr>
          <w:sz w:val="28"/>
        </w:rPr>
        <w:t>can be as concise as the two-letter word “Ad.”</w:t>
      </w:r>
    </w:p>
    <w:p w14:paraId="6776ECBA" w14:textId="2789B3B8" w:rsidR="005536CD" w:rsidRPr="00B31D29" w:rsidRDefault="005536CD" w:rsidP="00637AD3">
      <w:pPr>
        <w:pStyle w:val="Document"/>
        <w:widowControl w:val="0"/>
        <w:rPr>
          <w:sz w:val="28"/>
        </w:rPr>
      </w:pPr>
      <w:r w:rsidRPr="00B31D29">
        <w:rPr>
          <w:sz w:val="28"/>
        </w:rPr>
        <w:t xml:space="preserve">In application, a platform like Snapchat, </w:t>
      </w:r>
      <w:r w:rsidR="003D20F9" w:rsidRPr="00B31D29">
        <w:rPr>
          <w:sz w:val="28"/>
        </w:rPr>
        <w:t>for</w:t>
      </w:r>
      <w:r w:rsidRPr="00B31D29">
        <w:rPr>
          <w:sz w:val="28"/>
        </w:rPr>
        <w:t xml:space="preserve"> example, could comply with th</w:t>
      </w:r>
      <w:r w:rsidR="003D20F9" w:rsidRPr="00B31D29">
        <w:rPr>
          <w:sz w:val="28"/>
        </w:rPr>
        <w:t>is</w:t>
      </w:r>
      <w:r w:rsidRPr="00B31D29">
        <w:rPr>
          <w:sz w:val="28"/>
        </w:rPr>
        <w:t xml:space="preserve"> proposed FEC rulemaking by using the broadly construed third option. Currently, Snapchat allows advertisers to include </w:t>
      </w:r>
      <w:r w:rsidR="003D20F9" w:rsidRPr="00B31D29">
        <w:rPr>
          <w:sz w:val="28"/>
        </w:rPr>
        <w:t xml:space="preserve">extra </w:t>
      </w:r>
      <w:r w:rsidRPr="00B31D29">
        <w:rPr>
          <w:sz w:val="28"/>
        </w:rPr>
        <w:t>features and content, which users can access by swiping up after an advertisement finishes playing. A politician could run a video or an even more interactive promotion</w:t>
      </w:r>
      <w:r w:rsidR="003D20F9" w:rsidRPr="00B31D29">
        <w:rPr>
          <w:sz w:val="28"/>
        </w:rPr>
        <w:t>,</w:t>
      </w:r>
      <w:r w:rsidRPr="00B31D29">
        <w:rPr>
          <w:sz w:val="28"/>
        </w:rPr>
        <w:t xml:space="preserve"> like a mini</w:t>
      </w:r>
      <w:r w:rsidR="00695878" w:rsidRPr="00B31D29">
        <w:rPr>
          <w:sz w:val="28"/>
        </w:rPr>
        <w:t>-</w:t>
      </w:r>
      <w:r w:rsidRPr="00B31D29">
        <w:rPr>
          <w:sz w:val="28"/>
        </w:rPr>
        <w:t>game</w:t>
      </w:r>
      <w:r w:rsidR="003D20F9" w:rsidRPr="00B31D29">
        <w:rPr>
          <w:sz w:val="28"/>
        </w:rPr>
        <w:t>,</w:t>
      </w:r>
      <w:r w:rsidRPr="00B31D29">
        <w:rPr>
          <w:sz w:val="28"/>
        </w:rPr>
        <w:t xml:space="preserve"> on </w:t>
      </w:r>
      <w:r w:rsidR="003D20F9" w:rsidRPr="00B31D29">
        <w:rPr>
          <w:sz w:val="28"/>
        </w:rPr>
        <w:t>the platform</w:t>
      </w:r>
      <w:r w:rsidRPr="00B31D29">
        <w:rPr>
          <w:sz w:val="28"/>
        </w:rPr>
        <w:t>.</w:t>
      </w:r>
      <w:r w:rsidRPr="00B31D29">
        <w:rPr>
          <w:rStyle w:val="NoterefInText"/>
          <w:sz w:val="18"/>
        </w:rPr>
        <w:footnoteReference w:id="248"/>
      </w:r>
      <w:r w:rsidRPr="00B31D29">
        <w:rPr>
          <w:sz w:val="28"/>
        </w:rPr>
        <w:t xml:space="preserve"> While the video plays, a small “Ad” logo would appear in the corner</w:t>
      </w:r>
      <w:r w:rsidR="003D20F9" w:rsidRPr="00B31D29">
        <w:rPr>
          <w:sz w:val="28"/>
        </w:rPr>
        <w:t>,</w:t>
      </w:r>
      <w:r w:rsidRPr="00B31D29">
        <w:rPr>
          <w:sz w:val="28"/>
        </w:rPr>
        <w:t xml:space="preserve"> alerting the user that the content is promotional. After the video ends, users could swipe up to see a full disclaimer. Video ads on Snapchat already feature a small “Ad” logo</w:t>
      </w:r>
      <w:r w:rsidR="007806FE" w:rsidRPr="00B31D29">
        <w:rPr>
          <w:sz w:val="28"/>
        </w:rPr>
        <w:t>,</w:t>
      </w:r>
      <w:r w:rsidRPr="00B31D29">
        <w:rPr>
          <w:sz w:val="28"/>
        </w:rPr>
        <w:t xml:space="preserve"> so this requirement for political ads would not be excessively burdensome or unreasonable. Similarly, since Snapchat </w:t>
      </w:r>
      <w:r w:rsidRPr="00B31D29">
        <w:rPr>
          <w:sz w:val="28"/>
        </w:rPr>
        <w:lastRenderedPageBreak/>
        <w:t xml:space="preserve">allows other advertisers to include more content by swiping up, it can do so for political candidates as well. Other platforms like Facebook and Google can similarly comply with the rule proposed in </w:t>
      </w:r>
      <w:r w:rsidR="005A7F8B" w:rsidRPr="00B31D29">
        <w:rPr>
          <w:sz w:val="28"/>
        </w:rPr>
        <w:t>this Note</w:t>
      </w:r>
      <w:r w:rsidRPr="00B31D29">
        <w:rPr>
          <w:sz w:val="28"/>
        </w:rPr>
        <w:t xml:space="preserve"> by either adopting one of the proposed options or by creating their own solution using the flexible third alternative.</w:t>
      </w:r>
    </w:p>
    <w:p w14:paraId="586496E7" w14:textId="2D313264" w:rsidR="005536CD" w:rsidRPr="00B31D29" w:rsidRDefault="005536CD" w:rsidP="00637AD3">
      <w:pPr>
        <w:pStyle w:val="Document"/>
        <w:widowControl w:val="0"/>
        <w:rPr>
          <w:sz w:val="28"/>
        </w:rPr>
      </w:pPr>
      <w:r w:rsidRPr="00B31D29">
        <w:rPr>
          <w:sz w:val="28"/>
        </w:rPr>
        <w:t>Unfortunately, to make any impactful changes, the FEC must find a way to overcome the crippling gridlock that has rendered the agency basically ineffective.</w:t>
      </w:r>
      <w:r w:rsidRPr="00B31D29">
        <w:rPr>
          <w:rStyle w:val="NoterefInText"/>
          <w:sz w:val="18"/>
        </w:rPr>
        <w:footnoteReference w:id="249"/>
      </w:r>
      <w:r w:rsidRPr="00B31D29">
        <w:rPr>
          <w:sz w:val="28"/>
        </w:rPr>
        <w:t xml:space="preserve"> The votes on the advisory opinions discussed in Part III were largely split along party lines</w:t>
      </w:r>
      <w:r w:rsidR="00AC3A42" w:rsidRPr="00B31D29">
        <w:rPr>
          <w:sz w:val="28"/>
        </w:rPr>
        <w:t>,</w:t>
      </w:r>
      <w:r w:rsidRPr="00B31D29">
        <w:rPr>
          <w:sz w:val="28"/>
        </w:rPr>
        <w:t xml:space="preserve"> with Republican</w:t>
      </w:r>
      <w:r w:rsidR="008E7A21" w:rsidRPr="00B31D29">
        <w:rPr>
          <w:sz w:val="28"/>
        </w:rPr>
        <w:t>-appointed</w:t>
      </w:r>
      <w:r w:rsidRPr="00B31D29">
        <w:rPr>
          <w:sz w:val="28"/>
        </w:rPr>
        <w:t xml:space="preserve"> Commissioners </w:t>
      </w:r>
      <w:r w:rsidR="00AC3A42" w:rsidRPr="00B31D29">
        <w:rPr>
          <w:sz w:val="28"/>
        </w:rPr>
        <w:t>w</w:t>
      </w:r>
      <w:r w:rsidRPr="00B31D29">
        <w:rPr>
          <w:sz w:val="28"/>
        </w:rPr>
        <w:t>ary of imposing disclaimer requirements.</w:t>
      </w:r>
      <w:r w:rsidRPr="00B31D29">
        <w:rPr>
          <w:rStyle w:val="NoterefInText"/>
          <w:sz w:val="18"/>
        </w:rPr>
        <w:footnoteReference w:id="250"/>
      </w:r>
      <w:r w:rsidRPr="00B31D29">
        <w:rPr>
          <w:sz w:val="28"/>
        </w:rPr>
        <w:t xml:space="preserve"> As such, any action on the part of the FEC require</w:t>
      </w:r>
      <w:r w:rsidR="001D34E5" w:rsidRPr="00B31D29">
        <w:rPr>
          <w:sz w:val="28"/>
        </w:rPr>
        <w:t>s</w:t>
      </w:r>
      <w:r w:rsidRPr="00B31D29">
        <w:rPr>
          <w:sz w:val="28"/>
        </w:rPr>
        <w:t xml:space="preserve"> moving past th</w:t>
      </w:r>
      <w:r w:rsidR="00904921" w:rsidRPr="00B31D29">
        <w:rPr>
          <w:sz w:val="28"/>
        </w:rPr>
        <w:t>is</w:t>
      </w:r>
      <w:r w:rsidRPr="00B31D29">
        <w:rPr>
          <w:sz w:val="28"/>
        </w:rPr>
        <w:t xml:space="preserve"> internal partisan </w:t>
      </w:r>
      <w:r w:rsidR="00904921" w:rsidRPr="00B31D29">
        <w:rPr>
          <w:sz w:val="28"/>
        </w:rPr>
        <w:t>divide</w:t>
      </w:r>
      <w:r w:rsidRPr="00B31D29">
        <w:rPr>
          <w:sz w:val="28"/>
        </w:rPr>
        <w:t xml:space="preserve">. Ideally, Internet platforms </w:t>
      </w:r>
      <w:r w:rsidR="005D6A0E" w:rsidRPr="00B31D29">
        <w:rPr>
          <w:sz w:val="28"/>
        </w:rPr>
        <w:t>w</w:t>
      </w:r>
      <w:r w:rsidRPr="00B31D29">
        <w:rPr>
          <w:sz w:val="28"/>
        </w:rPr>
        <w:t>ould be guided by the FEC in formulating reasonable solutions, but even if the FEC does not act to issue new rules in the near future, platforms should take proactive steps to be more transparent. False and misleading information is rampant on the Internet, and disclaimers are one small way to promote more transparency online.</w:t>
      </w:r>
      <w:r w:rsidRPr="00B31D29">
        <w:rPr>
          <w:rStyle w:val="NoterefInText"/>
          <w:sz w:val="18"/>
        </w:rPr>
        <w:footnoteReference w:id="251"/>
      </w:r>
      <w:r w:rsidRPr="00B31D29">
        <w:rPr>
          <w:sz w:val="28"/>
        </w:rPr>
        <w:t xml:space="preserve"> Users are likely to reward platforms for taking proactive action since research suggests that people want more information and transparency.</w:t>
      </w:r>
      <w:r w:rsidRPr="00B31D29">
        <w:rPr>
          <w:rStyle w:val="NoterefInText"/>
          <w:sz w:val="18"/>
        </w:rPr>
        <w:footnoteReference w:id="252"/>
      </w:r>
      <w:r w:rsidRPr="00B31D29">
        <w:rPr>
          <w:sz w:val="28"/>
        </w:rPr>
        <w:t xml:space="preserve"> Twitter already offers a model of how to incorporate disclaimers</w:t>
      </w:r>
      <w:r w:rsidR="00814896" w:rsidRPr="00B31D29">
        <w:rPr>
          <w:sz w:val="28"/>
        </w:rPr>
        <w:t>; o</w:t>
      </w:r>
      <w:r w:rsidRPr="00B31D29">
        <w:rPr>
          <w:sz w:val="28"/>
        </w:rPr>
        <w:t>thers</w:t>
      </w:r>
      <w:r w:rsidR="00814896" w:rsidRPr="00B31D29">
        <w:rPr>
          <w:sz w:val="28"/>
        </w:rPr>
        <w:t>,</w:t>
      </w:r>
      <w:r w:rsidRPr="00B31D29">
        <w:rPr>
          <w:sz w:val="28"/>
        </w:rPr>
        <w:t xml:space="preserve"> like Google, Facebook, and Snapchat</w:t>
      </w:r>
      <w:r w:rsidR="00814896" w:rsidRPr="00B31D29">
        <w:rPr>
          <w:sz w:val="28"/>
        </w:rPr>
        <w:t>,</w:t>
      </w:r>
      <w:r w:rsidRPr="00B31D29">
        <w:rPr>
          <w:sz w:val="28"/>
        </w:rPr>
        <w:t xml:space="preserve"> could adopt similar promoted icons and use rollover features to run disclaimers. If these options are not desirable, there is no shortage of creative minds within these organizations </w:t>
      </w:r>
      <w:r w:rsidR="00814896" w:rsidRPr="00B31D29">
        <w:rPr>
          <w:sz w:val="28"/>
        </w:rPr>
        <w:t xml:space="preserve">to </w:t>
      </w:r>
      <w:r w:rsidRPr="00B31D29">
        <w:rPr>
          <w:sz w:val="28"/>
        </w:rPr>
        <w:t>produce practical and efficient solution</w:t>
      </w:r>
      <w:r w:rsidR="00814896" w:rsidRPr="00B31D29">
        <w:rPr>
          <w:sz w:val="28"/>
        </w:rPr>
        <w:t>s</w:t>
      </w:r>
      <w:r w:rsidRPr="00B31D29">
        <w:rPr>
          <w:sz w:val="28"/>
        </w:rPr>
        <w:t xml:space="preserve">. Although not as definite as a rulemaking, the FEC’s existing advisory opinions, and even some of </w:t>
      </w:r>
      <w:r w:rsidR="00814896" w:rsidRPr="00B31D29">
        <w:rPr>
          <w:sz w:val="28"/>
        </w:rPr>
        <w:t xml:space="preserve">its </w:t>
      </w:r>
      <w:r w:rsidRPr="00B31D29">
        <w:rPr>
          <w:sz w:val="28"/>
        </w:rPr>
        <w:t>drafts, can serve as guideposts for developing alternative disclaimers.</w:t>
      </w:r>
    </w:p>
    <w:p w14:paraId="25FDF502" w14:textId="438FAECC" w:rsidR="005536CD" w:rsidRPr="00B31D29" w:rsidRDefault="005536CD" w:rsidP="00C94332">
      <w:pPr>
        <w:pStyle w:val="SubHead1"/>
        <w:outlineLvl w:val="0"/>
        <w:rPr>
          <w:sz w:val="28"/>
        </w:rPr>
      </w:pPr>
      <w:bookmarkStart w:id="47" w:name="_Toc504798765"/>
      <w:r w:rsidRPr="00B31D29">
        <w:rPr>
          <w:sz w:val="28"/>
        </w:rPr>
        <w:lastRenderedPageBreak/>
        <w:t>CONCLUSION</w:t>
      </w:r>
      <w:bookmarkEnd w:id="47"/>
    </w:p>
    <w:p w14:paraId="1AAD2672" w14:textId="45EE0B6B" w:rsidR="005536CD" w:rsidRPr="00B31D29" w:rsidRDefault="005536CD" w:rsidP="00637AD3">
      <w:pPr>
        <w:pStyle w:val="Document"/>
        <w:widowControl w:val="0"/>
        <w:rPr>
          <w:sz w:val="28"/>
        </w:rPr>
      </w:pPr>
      <w:r w:rsidRPr="00B31D29">
        <w:rPr>
          <w:sz w:val="28"/>
        </w:rPr>
        <w:t xml:space="preserve">With the growing importance of digital advertising and the rise of sponsored content in particular, it is time for the FEC to acknowledge that its current rules lag behind technological changes. Because digital and mobile platforms are capable of creating alternative disclaimers, they should not </w:t>
      </w:r>
      <w:r w:rsidR="00814896" w:rsidRPr="00B31D29">
        <w:rPr>
          <w:sz w:val="28"/>
        </w:rPr>
        <w:t>benefit</w:t>
      </w:r>
      <w:r w:rsidRPr="00B31D29">
        <w:rPr>
          <w:sz w:val="28"/>
        </w:rPr>
        <w:t xml:space="preserve"> </w:t>
      </w:r>
      <w:r w:rsidR="00814896" w:rsidRPr="00B31D29">
        <w:rPr>
          <w:sz w:val="28"/>
        </w:rPr>
        <w:t xml:space="preserve">from </w:t>
      </w:r>
      <w:r w:rsidRPr="00B31D29">
        <w:rPr>
          <w:sz w:val="28"/>
        </w:rPr>
        <w:t xml:space="preserve">the same exemptions </w:t>
      </w:r>
      <w:r w:rsidR="00814896" w:rsidRPr="00B31D29">
        <w:rPr>
          <w:sz w:val="28"/>
        </w:rPr>
        <w:t xml:space="preserve">designed </w:t>
      </w:r>
      <w:r w:rsidRPr="00B31D29">
        <w:rPr>
          <w:sz w:val="28"/>
        </w:rPr>
        <w:t xml:space="preserve">for </w:t>
      </w:r>
      <w:r w:rsidR="00814896" w:rsidRPr="00B31D29">
        <w:rPr>
          <w:sz w:val="28"/>
        </w:rPr>
        <w:t xml:space="preserve">lapel buttons, </w:t>
      </w:r>
      <w:r w:rsidRPr="00B31D29">
        <w:rPr>
          <w:sz w:val="28"/>
        </w:rPr>
        <w:t>skywriting</w:t>
      </w:r>
      <w:r w:rsidR="00814896" w:rsidRPr="00B31D29">
        <w:rPr>
          <w:sz w:val="28"/>
        </w:rPr>
        <w:t>,</w:t>
      </w:r>
      <w:r w:rsidRPr="00B31D29">
        <w:rPr>
          <w:sz w:val="28"/>
        </w:rPr>
        <w:t xml:space="preserve"> or water towers, where </w:t>
      </w:r>
      <w:r w:rsidR="00814896" w:rsidRPr="00B31D29">
        <w:rPr>
          <w:sz w:val="28"/>
        </w:rPr>
        <w:t xml:space="preserve">size and </w:t>
      </w:r>
      <w:r w:rsidRPr="00B31D29">
        <w:rPr>
          <w:sz w:val="28"/>
        </w:rPr>
        <w:t xml:space="preserve">practicability </w:t>
      </w:r>
      <w:r w:rsidR="00814896" w:rsidRPr="00B31D29">
        <w:rPr>
          <w:sz w:val="28"/>
        </w:rPr>
        <w:t>are</w:t>
      </w:r>
      <w:r w:rsidRPr="00B31D29">
        <w:rPr>
          <w:sz w:val="28"/>
        </w:rPr>
        <w:t xml:space="preserve"> more insurmountable obstacle</w:t>
      </w:r>
      <w:r w:rsidR="004B5201" w:rsidRPr="00B31D29">
        <w:rPr>
          <w:sz w:val="28"/>
        </w:rPr>
        <w:t>s</w:t>
      </w:r>
      <w:r w:rsidRPr="00B31D29">
        <w:rPr>
          <w:sz w:val="28"/>
        </w:rPr>
        <w:t xml:space="preserve">. When advertisers take advantage of non-political contexts such as games to promote political messages through cleverly designed native ads, the existing loopholes for Internet advertising make voters particularly vulnerable to deception, which undermines the informational interest set forth by the Supreme Court in </w:t>
      </w:r>
      <w:r w:rsidRPr="00B31D29">
        <w:rPr>
          <w:i/>
          <w:sz w:val="28"/>
        </w:rPr>
        <w:t>Buckley</w:t>
      </w:r>
      <w:r w:rsidRPr="00B31D29">
        <w:rPr>
          <w:sz w:val="28"/>
        </w:rPr>
        <w:t xml:space="preserve">. Moreover, new regulations do not have to shackle </w:t>
      </w:r>
      <w:r w:rsidR="00814896" w:rsidRPr="00B31D29">
        <w:rPr>
          <w:sz w:val="28"/>
        </w:rPr>
        <w:t xml:space="preserve">platforms’ </w:t>
      </w:r>
      <w:r w:rsidRPr="00B31D29">
        <w:rPr>
          <w:sz w:val="28"/>
        </w:rPr>
        <w:t>ability to innovate and create. On the contrary, a flexible regulatory approach</w:t>
      </w:r>
      <w:r w:rsidR="00814896" w:rsidRPr="00B31D29">
        <w:rPr>
          <w:sz w:val="28"/>
        </w:rPr>
        <w:t>,</w:t>
      </w:r>
      <w:r w:rsidRPr="00B31D29">
        <w:rPr>
          <w:sz w:val="28"/>
        </w:rPr>
        <w:t xml:space="preserve"> as proposed by </w:t>
      </w:r>
      <w:r w:rsidR="005A7F8B" w:rsidRPr="00B31D29">
        <w:rPr>
          <w:sz w:val="28"/>
        </w:rPr>
        <w:t>this Note</w:t>
      </w:r>
      <w:r w:rsidRPr="00B31D29">
        <w:rPr>
          <w:sz w:val="28"/>
        </w:rPr>
        <w:t xml:space="preserve"> and as already implemented by states like California, would give advertisers guidance and direction in crafting alternatives to disclaimer requirements while protecting voters from misleading content.</w:t>
      </w:r>
    </w:p>
    <w:p w14:paraId="7FA89949" w14:textId="77777777" w:rsidR="000A67AA" w:rsidRPr="00B31D29" w:rsidRDefault="000A67AA" w:rsidP="00637AD3">
      <w:pPr>
        <w:pStyle w:val="Document"/>
        <w:widowControl w:val="0"/>
        <w:rPr>
          <w:sz w:val="28"/>
        </w:rPr>
      </w:pPr>
    </w:p>
    <w:sectPr w:rsidR="000A67AA" w:rsidRPr="00B31D29" w:rsidSect="00C81781">
      <w:headerReference w:type="even" r:id="rId8"/>
      <w:headerReference w:type="default" r:id="rId9"/>
      <w:headerReference w:type="first" r:id="rId10"/>
      <w:footerReference w:type="first" r:id="rId11"/>
      <w:type w:val="continuous"/>
      <w:pgSz w:w="12240" w:h="15840" w:code="1"/>
      <w:pgMar w:top="720" w:right="2780" w:bottom="2960" w:left="2780" w:header="720" w:footer="2880" w:gutter="0"/>
      <w:pgNumType w:start="33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95D8A" w14:textId="77777777" w:rsidR="004406D7" w:rsidRDefault="004406D7">
      <w:r>
        <w:separator/>
      </w:r>
    </w:p>
  </w:endnote>
  <w:endnote w:type="continuationSeparator" w:id="0">
    <w:p w14:paraId="477E5225" w14:textId="77777777" w:rsidR="004406D7" w:rsidRDefault="0044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F1D5E" w14:textId="77777777" w:rsidR="00CF426F" w:rsidRPr="002A196F" w:rsidRDefault="00CF426F" w:rsidP="00B602E2">
    <w:pPr>
      <w:pStyle w:val="Footer"/>
      <w:spacing w:before="240"/>
      <w:jc w:val="center"/>
      <w:rPr>
        <w:sz w:val="20"/>
        <w:szCs w:val="20"/>
      </w:rPr>
    </w:pPr>
    <w:r w:rsidRPr="002A196F">
      <w:rPr>
        <w:rStyle w:val="PageNumber"/>
        <w:sz w:val="20"/>
        <w:szCs w:val="20"/>
      </w:rPr>
      <w:fldChar w:fldCharType="begin"/>
    </w:r>
    <w:r w:rsidRPr="002A196F">
      <w:rPr>
        <w:rStyle w:val="PageNumber"/>
        <w:sz w:val="20"/>
        <w:szCs w:val="20"/>
      </w:rPr>
      <w:instrText xml:space="preserve"> PAGE </w:instrText>
    </w:r>
    <w:r w:rsidRPr="002A196F">
      <w:rPr>
        <w:rStyle w:val="PageNumber"/>
        <w:sz w:val="20"/>
        <w:szCs w:val="20"/>
      </w:rPr>
      <w:fldChar w:fldCharType="separate"/>
    </w:r>
    <w:r w:rsidR="00203FC5">
      <w:rPr>
        <w:rStyle w:val="PageNumber"/>
        <w:noProof/>
        <w:sz w:val="20"/>
        <w:szCs w:val="20"/>
      </w:rPr>
      <w:t>339</w:t>
    </w:r>
    <w:r w:rsidRPr="002A196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1DBFF" w14:textId="77777777" w:rsidR="004406D7" w:rsidRPr="005536CD" w:rsidRDefault="004406D7" w:rsidP="005536CD">
      <w:pPr>
        <w:pStyle w:val="Footer"/>
        <w:pBdr>
          <w:bottom w:val="single" w:sz="6" w:space="0" w:color="auto"/>
        </w:pBdr>
        <w:spacing w:after="80"/>
      </w:pPr>
    </w:p>
  </w:footnote>
  <w:footnote w:type="continuationSeparator" w:id="0">
    <w:p w14:paraId="5CFF7751" w14:textId="77777777" w:rsidR="004406D7" w:rsidRPr="005536CD" w:rsidRDefault="004406D7" w:rsidP="005536CD">
      <w:pPr>
        <w:pStyle w:val="Footer"/>
        <w:pBdr>
          <w:bottom w:val="single" w:sz="6" w:space="0" w:color="auto"/>
        </w:pBdr>
        <w:spacing w:after="80"/>
      </w:pPr>
    </w:p>
  </w:footnote>
  <w:footnote w:id="1">
    <w:p w14:paraId="2B7A080E" w14:textId="54652177" w:rsidR="00CF426F" w:rsidRPr="00B31D29" w:rsidRDefault="00CF426F" w:rsidP="00165D18">
      <w:pPr>
        <w:pStyle w:val="FootNote"/>
        <w:widowControl w:val="0"/>
        <w:rPr>
          <w:rStyle w:val="NoterefInNote"/>
          <w:color w:val="000000" w:themeColor="text1"/>
          <w:sz w:val="20"/>
        </w:rPr>
      </w:pPr>
      <w:r w:rsidRPr="00B31D29">
        <w:rPr>
          <w:rStyle w:val="NoterefInNote"/>
          <w:color w:val="000000" w:themeColor="text1"/>
          <w:sz w:val="20"/>
        </w:rPr>
        <w:tab/>
        <w:t>*.</w:t>
      </w:r>
      <w:r w:rsidRPr="00B31D29">
        <w:rPr>
          <w:rStyle w:val="NoterefInNote"/>
          <w:color w:val="000000" w:themeColor="text1"/>
          <w:sz w:val="20"/>
        </w:rPr>
        <w:tab/>
      </w:r>
      <w:r w:rsidRPr="00B31D29">
        <w:rPr>
          <w:color w:val="000000" w:themeColor="text1"/>
          <w:sz w:val="20"/>
        </w:rPr>
        <w:t xml:space="preserve">Executive Senior Editor, </w:t>
      </w:r>
      <w:r w:rsidRPr="00B31D29">
        <w:rPr>
          <w:i/>
          <w:color w:val="000000" w:themeColor="text1"/>
          <w:sz w:val="20"/>
        </w:rPr>
        <w:t>Southern California Law Review</w:t>
      </w:r>
      <w:r w:rsidRPr="00B31D29">
        <w:rPr>
          <w:color w:val="000000" w:themeColor="text1"/>
          <w:sz w:val="20"/>
        </w:rPr>
        <w:t xml:space="preserve">, Volume 91; J.D. Candidate 2018, University of Southern California Gould School of Law; B.A. 2011, Northwestern University. Thank you to Professor Dan Nabel for sparking my interest in native advertising. A very special thank you to Professor Abby Wood for her constant feedback and guidance throughout the note-writing process as well as for her support and mentorship. Lastly, thank you to the members of the </w:t>
      </w:r>
      <w:r w:rsidRPr="00B31D29">
        <w:rPr>
          <w:i/>
          <w:color w:val="000000" w:themeColor="text1"/>
          <w:sz w:val="20"/>
        </w:rPr>
        <w:t>Southern California Law Review</w:t>
      </w:r>
      <w:r w:rsidRPr="00B31D29">
        <w:rPr>
          <w:color w:val="000000" w:themeColor="text1"/>
          <w:sz w:val="20"/>
        </w:rPr>
        <w:t xml:space="preserve"> for their excellent editing and comments.</w:t>
      </w:r>
    </w:p>
  </w:footnote>
  <w:footnote w:id="2">
    <w:p w14:paraId="492C431E" w14:textId="1A551057" w:rsidR="00CF426F" w:rsidRPr="00B31D29" w:rsidRDefault="00CF426F" w:rsidP="00637AD3">
      <w:pPr>
        <w:pStyle w:val="FootNote"/>
        <w:widowControl w:val="0"/>
        <w:rPr>
          <w:color w:val="000000" w:themeColor="text1"/>
          <w:sz w:val="20"/>
          <w:highlight w:val="yellow"/>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 xml:space="preserve">Nathaniel Persily, </w:t>
      </w:r>
      <w:r w:rsidRPr="00B31D29">
        <w:rPr>
          <w:i/>
          <w:color w:val="000000" w:themeColor="text1"/>
          <w:sz w:val="20"/>
          <w:szCs w:val="16"/>
        </w:rPr>
        <w:t>The Coming Revolution in Campaign Communication</w:t>
      </w:r>
      <w:r w:rsidRPr="00B31D29">
        <w:rPr>
          <w:color w:val="000000" w:themeColor="text1"/>
          <w:sz w:val="20"/>
          <w:szCs w:val="16"/>
        </w:rPr>
        <w:t xml:space="preserve">, </w:t>
      </w:r>
      <w:r w:rsidRPr="00B31D29">
        <w:rPr>
          <w:smallCaps/>
          <w:color w:val="000000" w:themeColor="text1"/>
          <w:sz w:val="20"/>
          <w:szCs w:val="16"/>
        </w:rPr>
        <w:t>Sacramento Bee</w:t>
      </w:r>
      <w:r w:rsidRPr="00B31D29">
        <w:rPr>
          <w:color w:val="000000" w:themeColor="text1"/>
          <w:sz w:val="20"/>
          <w:szCs w:val="16"/>
        </w:rPr>
        <w:t xml:space="preserve"> (May 30, 2015, 5:00 PM), http://www.sacbee.com/opinion/california-forum/article22581321.html.</w:t>
      </w:r>
    </w:p>
  </w:footnote>
  <w:footnote w:id="3">
    <w:p w14:paraId="4217C2EB" w14:textId="66F00284"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rFonts w:eastAsia="MS Mincho"/>
          <w:color w:val="000000" w:themeColor="text1"/>
          <w:sz w:val="20"/>
          <w:szCs w:val="16"/>
        </w:rPr>
        <w:t xml:space="preserve">Joe Lazauskas, </w:t>
      </w:r>
      <w:r w:rsidRPr="00B31D29">
        <w:rPr>
          <w:rFonts w:eastAsia="MS Mincho"/>
          <w:i/>
          <w:color w:val="000000" w:themeColor="text1"/>
          <w:sz w:val="20"/>
          <w:szCs w:val="16"/>
        </w:rPr>
        <w:t>Article or Ad? When It Comes to Native Advertising, No One Knows</w:t>
      </w:r>
      <w:r w:rsidRPr="00B31D29">
        <w:rPr>
          <w:rFonts w:eastAsia="MS Mincho"/>
          <w:color w:val="000000" w:themeColor="text1"/>
          <w:sz w:val="20"/>
          <w:szCs w:val="16"/>
        </w:rPr>
        <w:t xml:space="preserve">, </w:t>
      </w:r>
      <w:r w:rsidRPr="00B31D29">
        <w:rPr>
          <w:rFonts w:eastAsia="MS Mincho"/>
          <w:smallCaps/>
          <w:color w:val="000000" w:themeColor="text1"/>
          <w:sz w:val="20"/>
          <w:szCs w:val="16"/>
        </w:rPr>
        <w:t>Contently</w:t>
      </w:r>
      <w:r w:rsidRPr="00B31D29">
        <w:rPr>
          <w:rFonts w:eastAsia="MS Mincho"/>
          <w:color w:val="000000" w:themeColor="text1"/>
          <w:sz w:val="20"/>
          <w:szCs w:val="16"/>
        </w:rPr>
        <w:t xml:space="preserve"> (Sept. 8, 2015), https://contently.com/strategist/2015/09/08/article-or-ad-when-it-comes-to-native-no-one-knows; Erik Sass, </w:t>
      </w:r>
      <w:r w:rsidRPr="00B31D29">
        <w:rPr>
          <w:rFonts w:eastAsia="MS Mincho"/>
          <w:i/>
          <w:color w:val="000000" w:themeColor="text1"/>
          <w:sz w:val="20"/>
          <w:szCs w:val="16"/>
        </w:rPr>
        <w:t>Consumers Can’t Tell Native Ads from Editorial Content</w:t>
      </w:r>
      <w:r w:rsidRPr="00B31D29">
        <w:rPr>
          <w:rFonts w:eastAsia="MS Mincho"/>
          <w:color w:val="000000" w:themeColor="text1"/>
          <w:sz w:val="20"/>
          <w:szCs w:val="16"/>
        </w:rPr>
        <w:t xml:space="preserve">, </w:t>
      </w:r>
      <w:r w:rsidRPr="00B31D29">
        <w:rPr>
          <w:rFonts w:eastAsia="MS Mincho"/>
          <w:smallCaps/>
          <w:color w:val="000000" w:themeColor="text1"/>
          <w:sz w:val="20"/>
          <w:szCs w:val="16"/>
        </w:rPr>
        <w:t>MediaPost</w:t>
      </w:r>
      <w:r w:rsidRPr="00B31D29">
        <w:rPr>
          <w:rFonts w:eastAsia="MS Mincho"/>
          <w:color w:val="000000" w:themeColor="text1"/>
          <w:sz w:val="20"/>
          <w:szCs w:val="16"/>
        </w:rPr>
        <w:t xml:space="preserve"> (Dec. 31, 2015), http://www.mediapost.com/publications/article/265789/consumers-consumers-cant-tell-native-ads-from-editorial-con.html (discussing findings by </w:t>
      </w:r>
      <w:r w:rsidRPr="00B31D29">
        <w:rPr>
          <w:color w:val="000000" w:themeColor="text1"/>
          <w:sz w:val="20"/>
          <w:szCs w:val="16"/>
        </w:rPr>
        <w:t>Grady College showing that fewer than 8% of participants identified native advertisements as promotions).</w:t>
      </w:r>
    </w:p>
  </w:footnote>
  <w:footnote w:id="4">
    <w:p w14:paraId="249D963A" w14:textId="209D6D7A"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See infra</w:t>
      </w:r>
      <w:r w:rsidRPr="00B31D29">
        <w:rPr>
          <w:color w:val="000000" w:themeColor="text1"/>
          <w:sz w:val="20"/>
          <w:szCs w:val="16"/>
        </w:rPr>
        <w:t xml:space="preserve"> Part III.B.</w:t>
      </w:r>
    </w:p>
  </w:footnote>
  <w:footnote w:id="5">
    <w:p w14:paraId="4C98F547" w14:textId="3A851C75"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bCs/>
          <w:iCs/>
          <w:color w:val="000000" w:themeColor="text1"/>
          <w:sz w:val="20"/>
          <w:szCs w:val="16"/>
        </w:rPr>
        <w:t>Buckley v. Valeo</w:t>
      </w:r>
      <w:r w:rsidRPr="00B31D29">
        <w:rPr>
          <w:color w:val="000000" w:themeColor="text1"/>
          <w:sz w:val="20"/>
          <w:szCs w:val="16"/>
        </w:rPr>
        <w:t>, 424 U.S. 1, 6 (1976) (per curiam).</w:t>
      </w:r>
    </w:p>
  </w:footnote>
  <w:footnote w:id="6">
    <w:p w14:paraId="23068634" w14:textId="13E17784"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66–68.</w:t>
      </w:r>
    </w:p>
  </w:footnote>
  <w:footnote w:id="7">
    <w:p w14:paraId="48115B07" w14:textId="23C8D8E1" w:rsidR="00CF426F" w:rsidRPr="00B31D29" w:rsidRDefault="00CF426F" w:rsidP="0024318E">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 xml:space="preserve">Citizens United v. FEC, 558 U.S. 310, 369 (2010). </w:t>
      </w:r>
      <w:r w:rsidRPr="00B31D29">
        <w:rPr>
          <w:i/>
          <w:color w:val="000000" w:themeColor="text1"/>
          <w:sz w:val="20"/>
          <w:szCs w:val="16"/>
        </w:rPr>
        <w:t>See also</w:t>
      </w:r>
      <w:r w:rsidRPr="00B31D29">
        <w:rPr>
          <w:color w:val="000000" w:themeColor="text1"/>
          <w:sz w:val="20"/>
          <w:szCs w:val="16"/>
        </w:rPr>
        <w:t xml:space="preserve"> Jennifer A. Heerwig &amp; Katherine Shaw, </w:t>
      </w:r>
      <w:r w:rsidRPr="00B31D29">
        <w:rPr>
          <w:i/>
          <w:color w:val="000000" w:themeColor="text1"/>
          <w:sz w:val="20"/>
          <w:szCs w:val="16"/>
        </w:rPr>
        <w:t>Through a Glass, Darkly: The Rhetoric and Reality of Campaign Finance Disclosure</w:t>
      </w:r>
      <w:r w:rsidRPr="00B31D29">
        <w:rPr>
          <w:color w:val="000000" w:themeColor="text1"/>
          <w:sz w:val="20"/>
          <w:szCs w:val="16"/>
        </w:rPr>
        <w:t xml:space="preserve">, 102 </w:t>
      </w:r>
      <w:r w:rsidRPr="00B31D29">
        <w:rPr>
          <w:smallCaps/>
          <w:color w:val="000000" w:themeColor="text1"/>
          <w:sz w:val="20"/>
          <w:szCs w:val="16"/>
        </w:rPr>
        <w:t>Geo. L.J</w:t>
      </w:r>
      <w:r w:rsidRPr="00B31D29">
        <w:rPr>
          <w:color w:val="000000" w:themeColor="text1"/>
          <w:sz w:val="20"/>
          <w:szCs w:val="16"/>
        </w:rPr>
        <w:t xml:space="preserve">. 1443, 1445 (2014); Abby K. Wood, </w:t>
      </w:r>
      <w:r w:rsidRPr="00B31D29">
        <w:rPr>
          <w:i/>
          <w:color w:val="000000" w:themeColor="text1"/>
          <w:sz w:val="20"/>
          <w:szCs w:val="16"/>
        </w:rPr>
        <w:t>Show Me the Money: “Dark Money” and the Informational Benefit of Campaign Finance Disclosure</w:t>
      </w:r>
      <w:r w:rsidRPr="00B31D29">
        <w:rPr>
          <w:color w:val="000000" w:themeColor="text1"/>
          <w:sz w:val="20"/>
          <w:szCs w:val="16"/>
        </w:rPr>
        <w:t xml:space="preserve"> 4–7, 13 (Ctr. for Law &amp; Social Sci. Research Papers Series No. CLASS17-24, Legal Studies Research Papers Series No. 17-23, 2017), </w:t>
      </w:r>
      <w:r w:rsidRPr="00B31D29">
        <w:rPr>
          <w:color w:val="000000" w:themeColor="text1"/>
          <w:sz w:val="20"/>
        </w:rPr>
        <w:t>https://papers.ssrn.com/</w:t>
      </w:r>
      <w:r w:rsidRPr="00B31D29">
        <w:rPr>
          <w:color w:val="000000" w:themeColor="text1"/>
          <w:sz w:val="20"/>
        </w:rPr>
        <w:br/>
        <w:t>sol3/papers.cfm?abstract_id=3029095</w:t>
      </w:r>
      <w:r w:rsidRPr="00B31D29">
        <w:rPr>
          <w:color w:val="000000" w:themeColor="text1"/>
          <w:sz w:val="20"/>
          <w:szCs w:val="16"/>
        </w:rPr>
        <w:t xml:space="preserve"> [hereinafter</w:t>
      </w:r>
      <w:r w:rsidRPr="00B31D29">
        <w:rPr>
          <w:i/>
          <w:color w:val="000000" w:themeColor="text1"/>
          <w:sz w:val="20"/>
          <w:szCs w:val="16"/>
        </w:rPr>
        <w:t xml:space="preserve"> Show Me The Money</w:t>
      </w:r>
      <w:r w:rsidRPr="00B31D29">
        <w:rPr>
          <w:color w:val="000000" w:themeColor="text1"/>
          <w:sz w:val="20"/>
          <w:szCs w:val="16"/>
        </w:rPr>
        <w:t xml:space="preserve">].  </w:t>
      </w:r>
    </w:p>
  </w:footnote>
  <w:footnote w:id="8">
    <w:p w14:paraId="5CDDE93E" w14:textId="36D58763"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See</w:t>
      </w:r>
      <w:r w:rsidRPr="00B31D29">
        <w:rPr>
          <w:color w:val="000000" w:themeColor="text1"/>
          <w:sz w:val="20"/>
          <w:szCs w:val="16"/>
        </w:rPr>
        <w:t xml:space="preserve"> Katie Rogers &amp; Jonah Engel Bromwich, </w:t>
      </w:r>
      <w:r w:rsidRPr="00B31D29">
        <w:rPr>
          <w:i/>
          <w:color w:val="000000" w:themeColor="text1"/>
          <w:sz w:val="20"/>
          <w:szCs w:val="16"/>
        </w:rPr>
        <w:t>The Hoaxes, Fake News and Misinformation We Saw on Election Day</w:t>
      </w:r>
      <w:r w:rsidRPr="00B31D29">
        <w:rPr>
          <w:color w:val="000000" w:themeColor="text1"/>
          <w:sz w:val="20"/>
          <w:szCs w:val="16"/>
        </w:rPr>
        <w:t xml:space="preserve">, </w:t>
      </w:r>
      <w:r w:rsidRPr="00B31D29">
        <w:rPr>
          <w:smallCaps/>
          <w:color w:val="000000" w:themeColor="text1"/>
          <w:sz w:val="20"/>
          <w:szCs w:val="16"/>
        </w:rPr>
        <w:t>N.Y. Times</w:t>
      </w:r>
      <w:r w:rsidRPr="00B31D29">
        <w:rPr>
          <w:color w:val="000000" w:themeColor="text1"/>
          <w:sz w:val="20"/>
          <w:szCs w:val="16"/>
        </w:rPr>
        <w:t xml:space="preserve"> (Nov. 8, 2016), https://nyti.ms/2nyMJ4r; Sam Schechner, </w:t>
      </w:r>
      <w:r w:rsidRPr="00B31D29">
        <w:rPr>
          <w:i/>
          <w:color w:val="000000" w:themeColor="text1"/>
          <w:sz w:val="20"/>
          <w:szCs w:val="16"/>
        </w:rPr>
        <w:t>Facebook and Google Step Up Efforts to Combat Fake News</w:t>
      </w:r>
      <w:r w:rsidRPr="00B31D29">
        <w:rPr>
          <w:color w:val="000000" w:themeColor="text1"/>
          <w:sz w:val="20"/>
          <w:szCs w:val="16"/>
        </w:rPr>
        <w:t xml:space="preserve">, </w:t>
      </w:r>
      <w:r w:rsidRPr="00B31D29">
        <w:rPr>
          <w:smallCaps/>
          <w:color w:val="000000" w:themeColor="text1"/>
          <w:sz w:val="20"/>
          <w:szCs w:val="16"/>
        </w:rPr>
        <w:t>Wall St. J.</w:t>
      </w:r>
      <w:r w:rsidRPr="00B31D29">
        <w:rPr>
          <w:color w:val="000000" w:themeColor="text1"/>
          <w:sz w:val="20"/>
          <w:szCs w:val="16"/>
        </w:rPr>
        <w:t xml:space="preserve"> (Feb. 6, 2017, 3:24 PM), </w:t>
      </w:r>
      <w:r w:rsidRPr="00B31D29">
        <w:rPr>
          <w:color w:val="000000" w:themeColor="text1"/>
          <w:spacing w:val="2"/>
          <w:sz w:val="20"/>
          <w:szCs w:val="16"/>
        </w:rPr>
        <w:t>https</w:t>
      </w:r>
      <w:r w:rsidRPr="00B31D29">
        <w:rPr>
          <w:color w:val="000000" w:themeColor="text1"/>
          <w:sz w:val="20"/>
          <w:szCs w:val="16"/>
        </w:rPr>
        <w:t>://</w:t>
      </w:r>
      <w:r w:rsidRPr="00B31D29">
        <w:rPr>
          <w:color w:val="000000" w:themeColor="text1"/>
          <w:spacing w:val="2"/>
          <w:sz w:val="20"/>
          <w:szCs w:val="16"/>
        </w:rPr>
        <w:t>www.wsj.com</w:t>
      </w:r>
      <w:r w:rsidRPr="00B31D29">
        <w:rPr>
          <w:color w:val="000000" w:themeColor="text1"/>
          <w:sz w:val="20"/>
          <w:szCs w:val="16"/>
        </w:rPr>
        <w:t>/</w:t>
      </w:r>
      <w:r w:rsidRPr="00B31D29">
        <w:rPr>
          <w:color w:val="000000" w:themeColor="text1"/>
          <w:spacing w:val="2"/>
          <w:sz w:val="20"/>
          <w:szCs w:val="16"/>
        </w:rPr>
        <w:t>articles</w:t>
      </w:r>
      <w:r w:rsidRPr="00B31D29">
        <w:rPr>
          <w:color w:val="000000" w:themeColor="text1"/>
          <w:sz w:val="20"/>
          <w:szCs w:val="16"/>
        </w:rPr>
        <w:t>/</w:t>
      </w:r>
      <w:r w:rsidRPr="00B31D29">
        <w:rPr>
          <w:color w:val="000000" w:themeColor="text1"/>
          <w:spacing w:val="2"/>
          <w:sz w:val="20"/>
          <w:szCs w:val="16"/>
        </w:rPr>
        <w:t>facebook</w:t>
      </w:r>
      <w:r w:rsidRPr="00B31D29">
        <w:rPr>
          <w:color w:val="000000" w:themeColor="text1"/>
          <w:sz w:val="20"/>
          <w:szCs w:val="16"/>
        </w:rPr>
        <w:t>-</w:t>
      </w:r>
      <w:r w:rsidRPr="00B31D29">
        <w:rPr>
          <w:color w:val="000000" w:themeColor="text1"/>
          <w:spacing w:val="2"/>
          <w:sz w:val="20"/>
          <w:szCs w:val="16"/>
        </w:rPr>
        <w:t>and</w:t>
      </w:r>
      <w:r w:rsidRPr="00B31D29">
        <w:rPr>
          <w:color w:val="000000" w:themeColor="text1"/>
          <w:sz w:val="20"/>
          <w:szCs w:val="16"/>
        </w:rPr>
        <w:t>-google-step-up-efforts-to-combat-fake-news-</w:t>
      </w:r>
      <w:r w:rsidRPr="00B31D29">
        <w:rPr>
          <w:color w:val="000000" w:themeColor="text1"/>
          <w:spacing w:val="2"/>
          <w:sz w:val="20"/>
          <w:szCs w:val="16"/>
        </w:rPr>
        <w:t>1486396476</w:t>
      </w:r>
      <w:r w:rsidRPr="00B31D29">
        <w:rPr>
          <w:color w:val="000000" w:themeColor="text1"/>
          <w:sz w:val="20"/>
          <w:szCs w:val="16"/>
        </w:rPr>
        <w:t xml:space="preserve">; Craig Silverman, </w:t>
      </w:r>
      <w:r w:rsidRPr="00B31D29">
        <w:rPr>
          <w:i/>
          <w:color w:val="000000" w:themeColor="text1"/>
          <w:sz w:val="20"/>
          <w:szCs w:val="16"/>
        </w:rPr>
        <w:t>This Analysis Shows How Viral Fake Election News Stories Outperformed Real News on Facebook</w:t>
      </w:r>
      <w:r w:rsidRPr="00B31D29">
        <w:rPr>
          <w:color w:val="000000" w:themeColor="text1"/>
          <w:sz w:val="20"/>
          <w:szCs w:val="16"/>
        </w:rPr>
        <w:t xml:space="preserve">, </w:t>
      </w:r>
      <w:r w:rsidRPr="00B31D29">
        <w:rPr>
          <w:smallCaps/>
          <w:color w:val="000000" w:themeColor="text1"/>
          <w:sz w:val="20"/>
          <w:szCs w:val="16"/>
        </w:rPr>
        <w:t>BuzzFeed</w:t>
      </w:r>
      <w:r w:rsidRPr="00B31D29">
        <w:rPr>
          <w:color w:val="000000" w:themeColor="text1"/>
          <w:sz w:val="20"/>
          <w:szCs w:val="16"/>
        </w:rPr>
        <w:t xml:space="preserve"> (Nov. 16, 2016, 2:15 PM), https://www.buzzfeed.com/craigsilverman/viral-fake-election-news-outperformed-real-news-on-facebook. </w:t>
      </w:r>
    </w:p>
  </w:footnote>
  <w:footnote w:id="9">
    <w:p w14:paraId="4849D739" w14:textId="3E4BF889"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See generally</w:t>
      </w:r>
      <w:r w:rsidRPr="00B31D29">
        <w:rPr>
          <w:color w:val="000000" w:themeColor="text1"/>
          <w:sz w:val="20"/>
          <w:szCs w:val="16"/>
        </w:rPr>
        <w:t xml:space="preserve"> Heerwig &amp; Shaw, </w:t>
      </w:r>
      <w:r w:rsidRPr="00B31D29">
        <w:rPr>
          <w:i/>
          <w:color w:val="000000" w:themeColor="text1"/>
          <w:sz w:val="20"/>
          <w:szCs w:val="16"/>
        </w:rPr>
        <w:t xml:space="preserve">supra </w:t>
      </w:r>
      <w:r w:rsidRPr="00B31D29">
        <w:rPr>
          <w:color w:val="000000" w:themeColor="text1"/>
          <w:sz w:val="20"/>
          <w:szCs w:val="16"/>
        </w:rPr>
        <w:t xml:space="preserve">note </w:t>
      </w:r>
      <w:r w:rsidRPr="00B31D29">
        <w:rPr>
          <w:color w:val="000000" w:themeColor="text1"/>
          <w:sz w:val="20"/>
          <w:szCs w:val="16"/>
        </w:rPr>
        <w:fldChar w:fldCharType="begin"/>
      </w:r>
      <w:r w:rsidRPr="00B31D29">
        <w:rPr>
          <w:color w:val="000000" w:themeColor="text1"/>
          <w:sz w:val="20"/>
          <w:szCs w:val="16"/>
        </w:rPr>
        <w:instrText xml:space="preserve"> NOTEREF _Ref492481628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6</w:t>
      </w:r>
      <w:r w:rsidRPr="00B31D29">
        <w:rPr>
          <w:color w:val="000000" w:themeColor="text1"/>
          <w:sz w:val="20"/>
          <w:szCs w:val="16"/>
        </w:rPr>
        <w:fldChar w:fldCharType="end"/>
      </w:r>
      <w:r w:rsidRPr="00B31D29">
        <w:rPr>
          <w:color w:val="000000" w:themeColor="text1"/>
          <w:sz w:val="20"/>
          <w:szCs w:val="16"/>
        </w:rPr>
        <w:t>;</w:t>
      </w:r>
      <w:r w:rsidRPr="00B31D29">
        <w:rPr>
          <w:i/>
          <w:color w:val="000000" w:themeColor="text1"/>
          <w:sz w:val="20"/>
          <w:szCs w:val="16"/>
        </w:rPr>
        <w:t xml:space="preserve"> Show Me the Money</w:t>
      </w:r>
      <w:r w:rsidRPr="00B31D29">
        <w:rPr>
          <w:color w:val="000000" w:themeColor="text1"/>
          <w:sz w:val="20"/>
          <w:szCs w:val="16"/>
        </w:rPr>
        <w:t xml:space="preserve">,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_Ref492481628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6</w:t>
      </w:r>
      <w:r w:rsidRPr="00B31D29">
        <w:rPr>
          <w:color w:val="000000" w:themeColor="text1"/>
          <w:sz w:val="20"/>
          <w:szCs w:val="16"/>
        </w:rPr>
        <w:fldChar w:fldCharType="end"/>
      </w:r>
      <w:r w:rsidRPr="00B31D29">
        <w:rPr>
          <w:color w:val="000000" w:themeColor="text1"/>
          <w:sz w:val="20"/>
          <w:szCs w:val="16"/>
        </w:rPr>
        <w:t xml:space="preserve">; Katherine Shaw, </w:t>
      </w:r>
      <w:r w:rsidRPr="00B31D29">
        <w:rPr>
          <w:i/>
          <w:color w:val="000000" w:themeColor="text1"/>
          <w:sz w:val="20"/>
          <w:szCs w:val="16"/>
        </w:rPr>
        <w:t>Taking Disclosure Seriously</w:t>
      </w:r>
      <w:r w:rsidRPr="00B31D29">
        <w:rPr>
          <w:color w:val="000000" w:themeColor="text1"/>
          <w:sz w:val="20"/>
          <w:szCs w:val="16"/>
        </w:rPr>
        <w:t xml:space="preserve">, </w:t>
      </w:r>
      <w:r w:rsidRPr="00B31D29">
        <w:rPr>
          <w:smallCaps/>
          <w:color w:val="000000" w:themeColor="text1"/>
          <w:sz w:val="20"/>
          <w:szCs w:val="16"/>
        </w:rPr>
        <w:t>Yale L. &amp; Pol’y Rev. Inter Alia</w:t>
      </w:r>
      <w:r w:rsidRPr="00B31D29">
        <w:rPr>
          <w:color w:val="000000" w:themeColor="text1"/>
          <w:sz w:val="20"/>
          <w:szCs w:val="16"/>
        </w:rPr>
        <w:t xml:space="preserve"> (Apr. 3, 2016), https://ylpr.yale.edu/inter_alia/taking-disclosure-seriously. </w:t>
      </w:r>
    </w:p>
  </w:footnote>
  <w:footnote w:id="10">
    <w:p w14:paraId="53D28E88" w14:textId="40BBD007" w:rsidR="00CF426F" w:rsidRPr="00B31D29" w:rsidRDefault="00CF426F" w:rsidP="00637AD3">
      <w:pPr>
        <w:pStyle w:val="FootNote"/>
        <w:widowControl w:val="0"/>
        <w:rPr>
          <w:i/>
          <w:iCs/>
          <w:color w:val="000000" w:themeColor="text1"/>
          <w:sz w:val="20"/>
          <w:bdr w:val="none" w:sz="0" w:space="0" w:color="auto" w:frame="1"/>
          <w:shd w:val="clear" w:color="auto" w:fill="FFFFFF"/>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color w:val="000000" w:themeColor="text1"/>
          <w:sz w:val="20"/>
          <w:szCs w:val="16"/>
          <w:shd w:val="clear" w:color="auto" w:fill="FFFFFF"/>
        </w:rPr>
        <w:t>Federal Election Campaign Act of 1971, Pub. L. No. 92</w:t>
      </w:r>
      <w:r w:rsidRPr="00B31D29">
        <w:rPr>
          <w:color w:val="000000" w:themeColor="text1"/>
          <w:sz w:val="20"/>
          <w:szCs w:val="16"/>
        </w:rPr>
        <w:t>-</w:t>
      </w:r>
      <w:r w:rsidRPr="00B31D29">
        <w:rPr>
          <w:color w:val="000000" w:themeColor="text1"/>
          <w:sz w:val="20"/>
          <w:szCs w:val="16"/>
          <w:shd w:val="clear" w:color="auto" w:fill="FFFFFF"/>
        </w:rPr>
        <w:t>225, 86 Stat. 3 (1972).</w:t>
      </w:r>
    </w:p>
  </w:footnote>
  <w:footnote w:id="11">
    <w:p w14:paraId="4FB2D5AA" w14:textId="5D756487"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smallCaps/>
          <w:color w:val="000000" w:themeColor="text1"/>
          <w:sz w:val="20"/>
          <w:szCs w:val="16"/>
        </w:rPr>
        <w:t xml:space="preserve">Erika Franklin Fowler et al., Political Advertising in the United States </w:t>
      </w:r>
      <w:r w:rsidRPr="00B31D29">
        <w:rPr>
          <w:color w:val="000000" w:themeColor="text1"/>
          <w:sz w:val="20"/>
          <w:szCs w:val="16"/>
        </w:rPr>
        <w:t>14 (2016).</w:t>
      </w:r>
    </w:p>
  </w:footnote>
  <w:footnote w:id="12">
    <w:p w14:paraId="1ABBC7EE" w14:textId="038A7A36" w:rsidR="00CF426F" w:rsidRPr="00B31D29" w:rsidRDefault="00CF426F" w:rsidP="00637AD3">
      <w:pPr>
        <w:pStyle w:val="FootNote"/>
        <w:widowControl w:val="0"/>
        <w:rPr>
          <w:color w:val="000000" w:themeColor="text1"/>
          <w:sz w:val="20"/>
        </w:rPr>
      </w:pPr>
      <w:r w:rsidRPr="00B31D29">
        <w:rPr>
          <w:i/>
          <w:color w:val="000000" w:themeColor="text1"/>
          <w:sz w:val="20"/>
          <w:szCs w:val="16"/>
        </w:rPr>
        <w:tab/>
      </w:r>
      <w:r w:rsidRPr="00B31D29">
        <w:rPr>
          <w:rStyle w:val="NoterefInNote"/>
          <w:color w:val="000000" w:themeColor="text1"/>
          <w:sz w:val="20"/>
        </w:rPr>
        <w:footnoteRef/>
      </w:r>
      <w:r w:rsidRPr="00B31D29">
        <w:rPr>
          <w:i/>
          <w:color w:val="000000" w:themeColor="text1"/>
          <w:sz w:val="20"/>
          <w:szCs w:val="16"/>
        </w:rPr>
        <w:t>.</w:t>
      </w:r>
      <w:r w:rsidRPr="00B31D29">
        <w:rPr>
          <w:i/>
          <w:color w:val="000000" w:themeColor="text1"/>
          <w:sz w:val="20"/>
          <w:szCs w:val="16"/>
        </w:rPr>
        <w:tab/>
      </w:r>
      <w:r w:rsidRPr="00B31D29">
        <w:rPr>
          <w:color w:val="000000" w:themeColor="text1"/>
          <w:sz w:val="20"/>
          <w:szCs w:val="16"/>
          <w:shd w:val="clear" w:color="auto" w:fill="FFFFFF"/>
        </w:rPr>
        <w:t>Federal Election Campaign Act Amendments of 1974, Pub. L. No. 93-443, 88 Stat. 1263</w:t>
      </w:r>
      <w:r w:rsidRPr="00B31D29">
        <w:rPr>
          <w:color w:val="000000" w:themeColor="text1"/>
          <w:sz w:val="20"/>
          <w:szCs w:val="16"/>
        </w:rPr>
        <w:t>; F</w:t>
      </w:r>
      <w:r w:rsidRPr="00B31D29">
        <w:rPr>
          <w:smallCaps/>
          <w:color w:val="000000" w:themeColor="text1"/>
          <w:sz w:val="20"/>
          <w:szCs w:val="16"/>
        </w:rPr>
        <w:t>owler</w:t>
      </w:r>
      <w:r w:rsidRPr="00B31D29">
        <w:rPr>
          <w:i/>
          <w:smallCaps/>
          <w:color w:val="000000" w:themeColor="text1"/>
          <w:sz w:val="20"/>
          <w:szCs w:val="16"/>
        </w:rPr>
        <w:t xml:space="preserve"> </w:t>
      </w:r>
      <w:r w:rsidRPr="00B31D29">
        <w:rPr>
          <w:smallCaps/>
          <w:color w:val="000000" w:themeColor="text1"/>
          <w:sz w:val="20"/>
          <w:szCs w:val="16"/>
        </w:rPr>
        <w:t xml:space="preserve">et al., </w:t>
      </w:r>
      <w:r w:rsidRPr="00B31D29">
        <w:rPr>
          <w:i/>
          <w:color w:val="000000" w:themeColor="text1"/>
          <w:sz w:val="20"/>
          <w:szCs w:val="16"/>
        </w:rPr>
        <w:t xml:space="preserve">supra </w:t>
      </w:r>
      <w:r w:rsidRPr="00B31D29">
        <w:rPr>
          <w:color w:val="000000" w:themeColor="text1"/>
          <w:sz w:val="20"/>
          <w:szCs w:val="16"/>
        </w:rPr>
        <w:t xml:space="preserve">note </w:t>
      </w:r>
      <w:r w:rsidRPr="00B31D29">
        <w:rPr>
          <w:color w:val="000000" w:themeColor="text1"/>
          <w:sz w:val="20"/>
          <w:szCs w:val="16"/>
        </w:rPr>
        <w:fldChar w:fldCharType="begin"/>
      </w:r>
      <w:r w:rsidRPr="00B31D29">
        <w:rPr>
          <w:color w:val="000000" w:themeColor="text1"/>
          <w:sz w:val="20"/>
          <w:szCs w:val="16"/>
        </w:rPr>
        <w:instrText xml:space="preserve"> NOTEREF _Ref492481629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10</w:t>
      </w:r>
      <w:r w:rsidRPr="00B31D29">
        <w:rPr>
          <w:color w:val="000000" w:themeColor="text1"/>
          <w:sz w:val="20"/>
          <w:szCs w:val="16"/>
        </w:rPr>
        <w:fldChar w:fldCharType="end"/>
      </w:r>
      <w:r w:rsidRPr="00B31D29">
        <w:rPr>
          <w:color w:val="000000" w:themeColor="text1"/>
          <w:sz w:val="20"/>
          <w:szCs w:val="16"/>
        </w:rPr>
        <w:t>, at 14</w:t>
      </w:r>
      <w:r w:rsidRPr="00B31D29">
        <w:rPr>
          <w:i/>
          <w:color w:val="000000" w:themeColor="text1"/>
          <w:sz w:val="20"/>
          <w:szCs w:val="16"/>
        </w:rPr>
        <w:t>.</w:t>
      </w:r>
    </w:p>
  </w:footnote>
  <w:footnote w:id="13">
    <w:p w14:paraId="30F1C1E4" w14:textId="64F29511"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11 C.F.R. §</w:t>
      </w:r>
      <w:r w:rsidRPr="00B31D29">
        <w:rPr>
          <w:color w:val="000000" w:themeColor="text1"/>
          <w:sz w:val="20"/>
        </w:rPr>
        <w:t xml:space="preserve"> 100.52(a) (2017); </w:t>
      </w:r>
      <w:r w:rsidRPr="00B31D29">
        <w:rPr>
          <w:i/>
          <w:color w:val="000000" w:themeColor="text1"/>
          <w:sz w:val="20"/>
          <w:szCs w:val="16"/>
        </w:rPr>
        <w:t>Contribution Limits</w:t>
      </w:r>
      <w:r w:rsidRPr="00B31D29">
        <w:rPr>
          <w:color w:val="000000" w:themeColor="text1"/>
          <w:sz w:val="20"/>
          <w:szCs w:val="16"/>
        </w:rPr>
        <w:t xml:space="preserve">, </w:t>
      </w:r>
      <w:r w:rsidRPr="00B31D29">
        <w:rPr>
          <w:smallCaps/>
          <w:color w:val="000000" w:themeColor="text1"/>
          <w:sz w:val="20"/>
          <w:szCs w:val="16"/>
        </w:rPr>
        <w:t>Fed. Election Commission</w:t>
      </w:r>
      <w:r w:rsidRPr="00B31D29">
        <w:rPr>
          <w:color w:val="000000" w:themeColor="text1"/>
          <w:sz w:val="20"/>
          <w:szCs w:val="16"/>
        </w:rPr>
        <w:t xml:space="preserve"> https://transition.fec.gov/pages/brochures/contrib.shtml#Contribution_Limits (last visited Jan. 12, 2018). </w:t>
      </w:r>
    </w:p>
  </w:footnote>
  <w:footnote w:id="14">
    <w:p w14:paraId="45A805CB" w14:textId="738FB99B"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 xml:space="preserve">11 C.F.R § 100.16(a). </w:t>
      </w:r>
    </w:p>
  </w:footnote>
  <w:footnote w:id="15">
    <w:p w14:paraId="59F31EE7" w14:textId="33E02288"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Buckley v. Valeo, 424 U.S. 1, 13 (1976) (per curiam) (citing 18 U.S.C. § 608(b)(1), (3) (Supp. IV 1970) (repealed 1976)).</w:t>
      </w:r>
    </w:p>
  </w:footnote>
  <w:footnote w:id="16">
    <w:p w14:paraId="5EF55BCF" w14:textId="46177B2A"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(citing 18 U.S.C. § 608(e) (repealed 1976)). </w:t>
      </w:r>
    </w:p>
  </w:footnote>
  <w:footnote w:id="17">
    <w:p w14:paraId="05CFF084" w14:textId="727F264E"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6; </w:t>
      </w:r>
      <w:r w:rsidRPr="00B31D29">
        <w:rPr>
          <w:smallCaps/>
          <w:color w:val="000000" w:themeColor="text1"/>
          <w:sz w:val="20"/>
          <w:szCs w:val="16"/>
        </w:rPr>
        <w:t xml:space="preserve">Fowler et al.,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_Ref492481629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10</w:t>
      </w:r>
      <w:r w:rsidRPr="00B31D29">
        <w:rPr>
          <w:color w:val="000000" w:themeColor="text1"/>
          <w:sz w:val="20"/>
          <w:szCs w:val="16"/>
        </w:rPr>
        <w:fldChar w:fldCharType="end"/>
      </w:r>
      <w:r w:rsidRPr="00B31D29">
        <w:rPr>
          <w:color w:val="000000" w:themeColor="text1"/>
          <w:sz w:val="20"/>
          <w:szCs w:val="16"/>
        </w:rPr>
        <w:t xml:space="preserve">, at 16. </w:t>
      </w:r>
    </w:p>
  </w:footnote>
  <w:footnote w:id="18">
    <w:p w14:paraId="154AA30A" w14:textId="77C3D522"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Buckley</w:t>
      </w:r>
      <w:r w:rsidRPr="00B31D29">
        <w:rPr>
          <w:color w:val="000000" w:themeColor="text1"/>
          <w:sz w:val="20"/>
          <w:szCs w:val="16"/>
        </w:rPr>
        <w:t xml:space="preserve">, 424 U.S. at 26–29. </w:t>
      </w:r>
    </w:p>
  </w:footnote>
  <w:footnote w:id="19">
    <w:p w14:paraId="6B5D7B1D" w14:textId="2ED47BF4"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20–21. </w:t>
      </w:r>
    </w:p>
  </w:footnote>
  <w:footnote w:id="20">
    <w:p w14:paraId="7C49087C" w14:textId="28A40A32"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21.</w:t>
      </w:r>
    </w:p>
  </w:footnote>
  <w:footnote w:id="21">
    <w:p w14:paraId="18D76E1E" w14:textId="3827EFBD"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Id. </w:t>
      </w:r>
      <w:r w:rsidRPr="00B31D29">
        <w:rPr>
          <w:color w:val="000000" w:themeColor="text1"/>
          <w:sz w:val="20"/>
          <w:szCs w:val="16"/>
        </w:rPr>
        <w:t>at 20–21</w:t>
      </w:r>
    </w:p>
  </w:footnote>
  <w:footnote w:id="22">
    <w:p w14:paraId="1BA82C20" w14:textId="78DAE9A3"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26–27. </w:t>
      </w:r>
    </w:p>
  </w:footnote>
  <w:footnote w:id="23">
    <w:p w14:paraId="1DB17615" w14:textId="0141F9D8"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27.</w:t>
      </w:r>
    </w:p>
  </w:footnote>
  <w:footnote w:id="24">
    <w:p w14:paraId="3C0BCEC8" w14:textId="24EE359F"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w:t>
      </w:r>
    </w:p>
  </w:footnote>
  <w:footnote w:id="25">
    <w:p w14:paraId="2C08AF9D" w14:textId="12ED837D"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50–51. </w:t>
      </w:r>
      <w:r w:rsidRPr="00B31D29">
        <w:rPr>
          <w:i/>
          <w:color w:val="000000" w:themeColor="text1"/>
          <w:sz w:val="20"/>
          <w:szCs w:val="16"/>
        </w:rPr>
        <w:t>See also</w:t>
      </w:r>
      <w:r w:rsidRPr="00B31D29">
        <w:rPr>
          <w:color w:val="000000" w:themeColor="text1"/>
          <w:sz w:val="20"/>
          <w:szCs w:val="16"/>
        </w:rPr>
        <w:t xml:space="preserve"> </w:t>
      </w:r>
      <w:r w:rsidRPr="00B31D29">
        <w:rPr>
          <w:smallCaps/>
          <w:color w:val="000000" w:themeColor="text1"/>
          <w:sz w:val="20"/>
          <w:szCs w:val="16"/>
        </w:rPr>
        <w:t xml:space="preserve">Fowler et al.,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_Ref492481629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10</w:t>
      </w:r>
      <w:r w:rsidRPr="00B31D29">
        <w:rPr>
          <w:color w:val="000000" w:themeColor="text1"/>
          <w:sz w:val="20"/>
          <w:szCs w:val="16"/>
        </w:rPr>
        <w:fldChar w:fldCharType="end"/>
      </w:r>
      <w:r w:rsidRPr="00B31D29">
        <w:rPr>
          <w:color w:val="000000" w:themeColor="text1"/>
          <w:sz w:val="20"/>
          <w:szCs w:val="16"/>
        </w:rPr>
        <w:t xml:space="preserve">, at 18. While limits on independent expenditures by political parties made on behalf of candidates survived </w:t>
      </w:r>
      <w:r w:rsidRPr="00B31D29">
        <w:rPr>
          <w:i/>
          <w:color w:val="000000" w:themeColor="text1"/>
          <w:sz w:val="20"/>
          <w:szCs w:val="16"/>
        </w:rPr>
        <w:t>Buckley</w:t>
      </w:r>
      <w:r w:rsidRPr="00B31D29">
        <w:rPr>
          <w:color w:val="000000" w:themeColor="text1"/>
          <w:sz w:val="20"/>
          <w:szCs w:val="16"/>
        </w:rPr>
        <w:t xml:space="preserve">, these limits were also later struck down. </w:t>
      </w:r>
      <w:r w:rsidRPr="00B31D29">
        <w:rPr>
          <w:i/>
          <w:color w:val="000000" w:themeColor="text1"/>
          <w:sz w:val="20"/>
          <w:szCs w:val="16"/>
        </w:rPr>
        <w:t xml:space="preserve">See </w:t>
      </w:r>
      <w:r w:rsidRPr="00B31D29">
        <w:rPr>
          <w:color w:val="000000" w:themeColor="text1"/>
          <w:sz w:val="20"/>
          <w:szCs w:val="16"/>
        </w:rPr>
        <w:t>Colo. Republican Federal Campaign Comm. v. FEC, 518 U.S. 604, 608 (1996).</w:t>
      </w:r>
    </w:p>
  </w:footnote>
  <w:footnote w:id="26">
    <w:p w14:paraId="6445F585" w14:textId="63603C61"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Buckley</w:t>
      </w:r>
      <w:r w:rsidRPr="00B31D29">
        <w:rPr>
          <w:color w:val="000000" w:themeColor="text1"/>
          <w:sz w:val="20"/>
          <w:szCs w:val="16"/>
        </w:rPr>
        <w:t xml:space="preserve">, 424 U.S. at 43–44. </w:t>
      </w:r>
    </w:p>
  </w:footnote>
  <w:footnote w:id="27">
    <w:p w14:paraId="6AE8E733" w14:textId="7DF943C1"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44–49. </w:t>
      </w:r>
    </w:p>
  </w:footnote>
  <w:footnote w:id="28">
    <w:p w14:paraId="03FA8159" w14:textId="5EA9403E"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w:t>
      </w:r>
    </w:p>
  </w:footnote>
  <w:footnote w:id="29">
    <w:p w14:paraId="3C40E383" w14:textId="3CD9FD58"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 xml:space="preserve">Heerwig &amp; Shaw,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_Ref492481628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6</w:t>
      </w:r>
      <w:r w:rsidRPr="00B31D29">
        <w:rPr>
          <w:color w:val="000000" w:themeColor="text1"/>
          <w:sz w:val="20"/>
          <w:szCs w:val="16"/>
        </w:rPr>
        <w:fldChar w:fldCharType="end"/>
      </w:r>
      <w:r w:rsidRPr="00B31D29">
        <w:rPr>
          <w:color w:val="000000" w:themeColor="text1"/>
          <w:sz w:val="20"/>
          <w:szCs w:val="16"/>
        </w:rPr>
        <w:t xml:space="preserve">, at 1450–52 (citing </w:t>
      </w:r>
      <w:r w:rsidRPr="00B31D29">
        <w:rPr>
          <w:i/>
          <w:color w:val="000000" w:themeColor="text1"/>
          <w:sz w:val="20"/>
          <w:szCs w:val="16"/>
        </w:rPr>
        <w:t>Buckley</w:t>
      </w:r>
      <w:r w:rsidRPr="00B31D29">
        <w:rPr>
          <w:color w:val="000000" w:themeColor="text1"/>
          <w:sz w:val="20"/>
          <w:szCs w:val="16"/>
        </w:rPr>
        <w:t xml:space="preserve">, 424 U.S. at 83–84). </w:t>
      </w:r>
    </w:p>
  </w:footnote>
  <w:footnote w:id="30">
    <w:p w14:paraId="2064EA90" w14:textId="23F6BC53"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Buckley</w:t>
      </w:r>
      <w:r w:rsidRPr="00B31D29">
        <w:rPr>
          <w:color w:val="000000" w:themeColor="text1"/>
          <w:sz w:val="20"/>
          <w:szCs w:val="16"/>
        </w:rPr>
        <w:t xml:space="preserve">, 424 U.S. at 63 (citing 2 U.S.C. §§ 432(c)–(d), 433 (Supp. IV 1970)). </w:t>
      </w:r>
    </w:p>
  </w:footnote>
  <w:footnote w:id="31">
    <w:p w14:paraId="071ECED4" w14:textId="583D8250" w:rsidR="00CF426F" w:rsidRPr="00B31D29" w:rsidRDefault="00CF426F" w:rsidP="00BA13DF">
      <w:pPr>
        <w:pStyle w:val="FootNotePara"/>
        <w:ind w:firstLine="0"/>
        <w:rPr>
          <w:color w:val="000000" w:themeColor="text1"/>
          <w:sz w:val="20"/>
        </w:rPr>
      </w:pPr>
      <w:r w:rsidRPr="00B31D29">
        <w:rPr>
          <w:color w:val="000000" w:themeColor="text1"/>
          <w:sz w:val="20"/>
        </w:rPr>
        <w:tab/>
      </w:r>
      <w:r w:rsidRPr="00B31D29">
        <w:rPr>
          <w:rStyle w:val="FootnoteReference"/>
          <w:color w:val="000000" w:themeColor="text1"/>
          <w:sz w:val="20"/>
          <w:szCs w:val="16"/>
          <w:vertAlign w:val="baseline"/>
        </w:rPr>
        <w:footnoteRef/>
      </w:r>
      <w:r w:rsidRPr="00B31D29">
        <w:rPr>
          <w:color w:val="000000" w:themeColor="text1"/>
          <w:sz w:val="20"/>
        </w:rPr>
        <w:t>.</w:t>
      </w:r>
      <w:r w:rsidRPr="00B31D29">
        <w:rPr>
          <w:color w:val="000000" w:themeColor="text1"/>
          <w:sz w:val="20"/>
        </w:rPr>
        <w:tab/>
      </w:r>
      <w:r w:rsidRPr="00B31D29">
        <w:rPr>
          <w:i/>
          <w:color w:val="000000" w:themeColor="text1"/>
          <w:sz w:val="20"/>
        </w:rPr>
        <w:t>Id.</w:t>
      </w:r>
      <w:r w:rsidRPr="00B31D29">
        <w:rPr>
          <w:color w:val="000000" w:themeColor="text1"/>
          <w:sz w:val="20"/>
        </w:rPr>
        <w:t xml:space="preserve"> (citing 2 U.S.C. § 434(a)).</w:t>
      </w:r>
    </w:p>
  </w:footnote>
  <w:footnote w:id="32">
    <w:p w14:paraId="5A876536" w14:textId="19C200C0"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(quoting 2 U.S.C § 438(a)(4)). </w:t>
      </w:r>
    </w:p>
  </w:footnote>
  <w:footnote w:id="33">
    <w:p w14:paraId="1742ACB9" w14:textId="57AEB677"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63–64 (citing 2 U.S.C § 434(e)). </w:t>
      </w:r>
    </w:p>
  </w:footnote>
  <w:footnote w:id="34">
    <w:p w14:paraId="73E90275" w14:textId="12EC58DE"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See id.</w:t>
      </w:r>
      <w:r w:rsidRPr="00B31D29">
        <w:rPr>
          <w:color w:val="000000" w:themeColor="text1"/>
          <w:sz w:val="20"/>
          <w:szCs w:val="16"/>
        </w:rPr>
        <w:t xml:space="preserve"> at 64–66. </w:t>
      </w:r>
    </w:p>
  </w:footnote>
  <w:footnote w:id="35">
    <w:p w14:paraId="4D1026C2" w14:textId="1019EC88"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64. </w:t>
      </w:r>
    </w:p>
  </w:footnote>
  <w:footnote w:id="36">
    <w:p w14:paraId="7FABBBD0" w14:textId="4D93D381"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w:t>
      </w:r>
    </w:p>
  </w:footnote>
  <w:footnote w:id="37">
    <w:p w14:paraId="7A510482" w14:textId="3658E27E"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66.</w:t>
      </w:r>
    </w:p>
  </w:footnote>
  <w:footnote w:id="38">
    <w:p w14:paraId="1126E970" w14:textId="0AF5D71D"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w:t>
      </w:r>
    </w:p>
  </w:footnote>
  <w:footnote w:id="39">
    <w:p w14:paraId="1CD62B0E" w14:textId="144A3720"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66–67</w:t>
      </w:r>
    </w:p>
  </w:footnote>
  <w:footnote w:id="40">
    <w:p w14:paraId="5F3E88DB" w14:textId="7E3173F4"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67.</w:t>
      </w:r>
    </w:p>
  </w:footnote>
  <w:footnote w:id="41">
    <w:p w14:paraId="7D15326A" w14:textId="4A3A53B9"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w:t>
      </w:r>
    </w:p>
  </w:footnote>
  <w:footnote w:id="42">
    <w:p w14:paraId="313C0C30" w14:textId="3AAAB241"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See id.</w:t>
      </w:r>
      <w:r w:rsidRPr="00B31D29">
        <w:rPr>
          <w:color w:val="000000" w:themeColor="text1"/>
          <w:sz w:val="20"/>
          <w:szCs w:val="16"/>
        </w:rPr>
        <w:t xml:space="preserve"> </w:t>
      </w:r>
    </w:p>
  </w:footnote>
  <w:footnote w:id="43">
    <w:p w14:paraId="67AC54B1" w14:textId="41853D7B"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Id. </w:t>
      </w:r>
      <w:r w:rsidRPr="00B31D29">
        <w:rPr>
          <w:color w:val="000000" w:themeColor="text1"/>
          <w:sz w:val="20"/>
          <w:szCs w:val="16"/>
        </w:rPr>
        <w:t xml:space="preserve">at 67–68. </w:t>
      </w:r>
    </w:p>
  </w:footnote>
  <w:footnote w:id="44">
    <w:p w14:paraId="593A0089" w14:textId="6DBFA8BF"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See id.</w:t>
      </w:r>
      <w:r w:rsidRPr="00B31D29">
        <w:rPr>
          <w:color w:val="000000" w:themeColor="text1"/>
          <w:sz w:val="20"/>
          <w:szCs w:val="16"/>
        </w:rPr>
        <w:t xml:space="preserve"> at 68.</w:t>
      </w:r>
    </w:p>
  </w:footnote>
  <w:footnote w:id="45">
    <w:p w14:paraId="213379BD" w14:textId="6CB9881E" w:rsidR="00CF426F" w:rsidRPr="00B31D29" w:rsidRDefault="00CF426F" w:rsidP="00637AD3">
      <w:pPr>
        <w:pStyle w:val="FootNote"/>
        <w:widowControl w:val="0"/>
        <w:rPr>
          <w:i/>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Id. </w:t>
      </w:r>
    </w:p>
  </w:footnote>
  <w:footnote w:id="46">
    <w:p w14:paraId="4ED205B3" w14:textId="24A7D3EC"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w:t>
      </w:r>
    </w:p>
  </w:footnote>
  <w:footnote w:id="47">
    <w:p w14:paraId="6A318D26" w14:textId="4B5D9B91" w:rsidR="00CF426F" w:rsidRPr="00B31D29" w:rsidRDefault="00CF426F" w:rsidP="00637AD3">
      <w:pPr>
        <w:pStyle w:val="FootNote"/>
        <w:widowControl w:val="0"/>
        <w:rPr>
          <w:color w:val="000000" w:themeColor="text1"/>
          <w:sz w:val="20"/>
          <w:szCs w:val="16"/>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74. </w:t>
      </w:r>
      <w:r w:rsidRPr="00B31D29">
        <w:rPr>
          <w:i/>
          <w:color w:val="000000" w:themeColor="text1"/>
          <w:sz w:val="20"/>
          <w:szCs w:val="16"/>
        </w:rPr>
        <w:t>See also</w:t>
      </w:r>
      <w:r w:rsidRPr="00B31D29">
        <w:rPr>
          <w:color w:val="000000" w:themeColor="text1"/>
          <w:sz w:val="20"/>
          <w:szCs w:val="16"/>
        </w:rPr>
        <w:t xml:space="preserve"> Doe v. Reed, 561 U.S. 186, 199–201 (2010) </w:t>
      </w:r>
      <w:r w:rsidRPr="00B31D29">
        <w:rPr>
          <w:color w:val="000000" w:themeColor="text1"/>
          <w:sz w:val="20"/>
          <w:szCs w:val="16"/>
          <w:shd w:val="clear" w:color="auto" w:fill="FFFFFF"/>
        </w:rPr>
        <w:t xml:space="preserve">(quoting </w:t>
      </w:r>
      <w:r w:rsidRPr="00B31D29">
        <w:rPr>
          <w:i/>
          <w:color w:val="000000" w:themeColor="text1"/>
          <w:sz w:val="20"/>
          <w:szCs w:val="16"/>
          <w:shd w:val="clear" w:color="auto" w:fill="FFFFFF"/>
        </w:rPr>
        <w:t>Buckley</w:t>
      </w:r>
      <w:r w:rsidRPr="00B31D29">
        <w:rPr>
          <w:color w:val="000000" w:themeColor="text1"/>
          <w:sz w:val="20"/>
          <w:szCs w:val="16"/>
          <w:shd w:val="clear" w:color="auto" w:fill="FFFFFF"/>
        </w:rPr>
        <w:t xml:space="preserve">, 424 U.S. at 74) </w:t>
      </w:r>
      <w:r w:rsidRPr="00B31D29">
        <w:rPr>
          <w:color w:val="000000" w:themeColor="text1"/>
          <w:sz w:val="20"/>
          <w:szCs w:val="16"/>
        </w:rPr>
        <w:t xml:space="preserve">(holding that the State of Washington did not violate the First Amendment by making public the identities of signers of an anti-gay marriage petition because the state had a sufficiently important interest in maintaining the “integrity of the electoral process,” but also noting that disclosure requirements may be struck down if a plaintiff shows a </w:t>
      </w:r>
      <w:r w:rsidRPr="00B31D29">
        <w:rPr>
          <w:color w:val="000000" w:themeColor="text1"/>
          <w:sz w:val="20"/>
          <w:szCs w:val="16"/>
          <w:shd w:val="clear" w:color="auto" w:fill="FFFFFF"/>
        </w:rPr>
        <w:t xml:space="preserve">reasonable probability that the “compelled disclosure [of personal information] will subject them to threats, harassment, or reprisals from either Government officials or private parties”); </w:t>
      </w:r>
      <w:r w:rsidRPr="00B31D29">
        <w:rPr>
          <w:color w:val="000000" w:themeColor="text1"/>
          <w:sz w:val="20"/>
          <w:szCs w:val="16"/>
        </w:rPr>
        <w:t xml:space="preserve">Heerwig &amp; Shaw,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_Ref492481628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6</w:t>
      </w:r>
      <w:r w:rsidRPr="00B31D29">
        <w:rPr>
          <w:color w:val="000000" w:themeColor="text1"/>
          <w:sz w:val="20"/>
          <w:szCs w:val="16"/>
        </w:rPr>
        <w:fldChar w:fldCharType="end"/>
      </w:r>
      <w:r w:rsidRPr="00B31D29">
        <w:rPr>
          <w:color w:val="000000" w:themeColor="text1"/>
          <w:sz w:val="20"/>
          <w:szCs w:val="16"/>
        </w:rPr>
        <w:t xml:space="preserve">, at 1452; </w:t>
      </w:r>
      <w:r w:rsidRPr="00B31D29">
        <w:rPr>
          <w:i/>
          <w:color w:val="000000" w:themeColor="text1"/>
          <w:sz w:val="20"/>
          <w:szCs w:val="16"/>
        </w:rPr>
        <w:t>Show Me the Money</w:t>
      </w:r>
      <w:r w:rsidRPr="00B31D29">
        <w:rPr>
          <w:color w:val="000000" w:themeColor="text1"/>
          <w:sz w:val="20"/>
          <w:szCs w:val="16"/>
        </w:rPr>
        <w:t xml:space="preserve">,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_Ref492481628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6</w:t>
      </w:r>
      <w:r w:rsidRPr="00B31D29">
        <w:rPr>
          <w:color w:val="000000" w:themeColor="text1"/>
          <w:sz w:val="20"/>
          <w:szCs w:val="16"/>
        </w:rPr>
        <w:fldChar w:fldCharType="end"/>
      </w:r>
      <w:r w:rsidRPr="00B31D29">
        <w:rPr>
          <w:color w:val="000000" w:themeColor="text1"/>
          <w:sz w:val="20"/>
          <w:szCs w:val="16"/>
        </w:rPr>
        <w:t>, at 5.</w:t>
      </w:r>
    </w:p>
  </w:footnote>
  <w:footnote w:id="48">
    <w:p w14:paraId="0A00E4F1" w14:textId="6125F9EB"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Buckley</w:t>
      </w:r>
      <w:r w:rsidRPr="00B31D29">
        <w:rPr>
          <w:color w:val="000000" w:themeColor="text1"/>
          <w:sz w:val="20"/>
          <w:szCs w:val="16"/>
        </w:rPr>
        <w:t xml:space="preserve">, 424 U.S. at 68. </w:t>
      </w:r>
      <w:r w:rsidRPr="00B31D29">
        <w:rPr>
          <w:i/>
          <w:color w:val="000000" w:themeColor="text1"/>
          <w:sz w:val="20"/>
          <w:szCs w:val="16"/>
        </w:rPr>
        <w:t>See also</w:t>
      </w:r>
      <w:r w:rsidRPr="00B31D29">
        <w:rPr>
          <w:color w:val="000000" w:themeColor="text1"/>
          <w:sz w:val="20"/>
          <w:szCs w:val="16"/>
        </w:rPr>
        <w:t xml:space="preserve"> Heerwig &amp; Shaw,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_Ref492481628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6</w:t>
      </w:r>
      <w:r w:rsidRPr="00B31D29">
        <w:rPr>
          <w:color w:val="000000" w:themeColor="text1"/>
          <w:sz w:val="20"/>
          <w:szCs w:val="16"/>
        </w:rPr>
        <w:fldChar w:fldCharType="end"/>
      </w:r>
      <w:r w:rsidRPr="00B31D29">
        <w:rPr>
          <w:color w:val="000000" w:themeColor="text1"/>
          <w:sz w:val="20"/>
          <w:szCs w:val="16"/>
        </w:rPr>
        <w:t xml:space="preserve">, at 1453. </w:t>
      </w:r>
    </w:p>
  </w:footnote>
  <w:footnote w:id="49">
    <w:p w14:paraId="5F5BA7DF" w14:textId="3FD6687D" w:rsidR="00CF426F" w:rsidRPr="00B31D29" w:rsidRDefault="00CF426F" w:rsidP="002019E4">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smallCaps/>
          <w:color w:val="000000" w:themeColor="text1"/>
          <w:sz w:val="20"/>
          <w:szCs w:val="16"/>
        </w:rPr>
        <w:t>Anthony Corrado et al., The New Campaign Finance Sourcebook</w:t>
      </w:r>
      <w:r w:rsidRPr="00B31D29">
        <w:rPr>
          <w:color w:val="000000" w:themeColor="text1"/>
          <w:sz w:val="20"/>
          <w:szCs w:val="16"/>
        </w:rPr>
        <w:t xml:space="preserve"> 30–43 (2005); </w:t>
      </w:r>
      <w:r w:rsidRPr="00B31D29">
        <w:rPr>
          <w:i/>
          <w:color w:val="000000" w:themeColor="text1"/>
          <w:sz w:val="20"/>
          <w:szCs w:val="16"/>
        </w:rPr>
        <w:t>The FEC and the Federal Campaign Finance Law</w:t>
      </w:r>
      <w:r w:rsidRPr="00B31D29">
        <w:rPr>
          <w:color w:val="000000" w:themeColor="text1"/>
          <w:sz w:val="20"/>
          <w:szCs w:val="16"/>
        </w:rPr>
        <w:t>,</w:t>
      </w:r>
      <w:r w:rsidRPr="00B31D29">
        <w:rPr>
          <w:i/>
          <w:color w:val="000000" w:themeColor="text1"/>
          <w:sz w:val="20"/>
          <w:szCs w:val="16"/>
        </w:rPr>
        <w:t xml:space="preserve"> </w:t>
      </w:r>
      <w:r w:rsidRPr="00B31D29">
        <w:rPr>
          <w:smallCaps/>
          <w:color w:val="000000" w:themeColor="text1"/>
          <w:sz w:val="20"/>
          <w:szCs w:val="16"/>
        </w:rPr>
        <w:t>Fed. Election Commission</w:t>
      </w:r>
      <w:r w:rsidRPr="00B31D29">
        <w:rPr>
          <w:color w:val="000000" w:themeColor="text1"/>
          <w:sz w:val="20"/>
          <w:szCs w:val="16"/>
        </w:rPr>
        <w:t>, https://transition.fec.gov/pages/brochures/fecfeca.shtml#Historical_Background (last updated Feb. 2, 2018).</w:t>
      </w:r>
    </w:p>
  </w:footnote>
  <w:footnote w:id="50">
    <w:p w14:paraId="5A440A4D" w14:textId="08F189F6"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Douglas M. Spencer &amp; Abby K. Wood, Citizens United</w:t>
      </w:r>
      <w:r w:rsidRPr="00B31D29">
        <w:rPr>
          <w:i/>
          <w:color w:val="000000" w:themeColor="text1"/>
          <w:sz w:val="20"/>
          <w:szCs w:val="16"/>
        </w:rPr>
        <w:t>, States Divided: An Empirical Analysis of Independent Political Spending</w:t>
      </w:r>
      <w:r w:rsidRPr="00B31D29">
        <w:rPr>
          <w:color w:val="000000" w:themeColor="text1"/>
          <w:sz w:val="20"/>
          <w:szCs w:val="16"/>
        </w:rPr>
        <w:t xml:space="preserve">, 89 </w:t>
      </w:r>
      <w:r w:rsidRPr="00B31D29">
        <w:rPr>
          <w:smallCaps/>
          <w:color w:val="000000" w:themeColor="text1"/>
          <w:sz w:val="20"/>
          <w:szCs w:val="16"/>
        </w:rPr>
        <w:t>Ind. L.J.</w:t>
      </w:r>
      <w:r w:rsidRPr="00B31D29">
        <w:rPr>
          <w:color w:val="000000" w:themeColor="text1"/>
          <w:sz w:val="20"/>
          <w:szCs w:val="16"/>
        </w:rPr>
        <w:t xml:space="preserve"> 315, 319 (2014). </w:t>
      </w:r>
      <w:r w:rsidRPr="00B31D29">
        <w:rPr>
          <w:i/>
          <w:color w:val="000000" w:themeColor="text1"/>
          <w:sz w:val="20"/>
          <w:szCs w:val="16"/>
        </w:rPr>
        <w:t>See also</w:t>
      </w:r>
      <w:r w:rsidRPr="00B31D29">
        <w:rPr>
          <w:color w:val="000000" w:themeColor="text1"/>
          <w:sz w:val="20"/>
          <w:szCs w:val="16"/>
        </w:rPr>
        <w:t xml:space="preserve"> </w:t>
      </w:r>
      <w:r w:rsidRPr="00B31D29">
        <w:rPr>
          <w:smallCaps/>
          <w:color w:val="000000" w:themeColor="text1"/>
          <w:sz w:val="20"/>
          <w:szCs w:val="16"/>
        </w:rPr>
        <w:t xml:space="preserve">Fowler et al.,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_Ref492481629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10</w:t>
      </w:r>
      <w:r w:rsidRPr="00B31D29">
        <w:rPr>
          <w:color w:val="000000" w:themeColor="text1"/>
          <w:sz w:val="20"/>
          <w:szCs w:val="16"/>
        </w:rPr>
        <w:fldChar w:fldCharType="end"/>
      </w:r>
      <w:r w:rsidRPr="00B31D29">
        <w:rPr>
          <w:color w:val="000000" w:themeColor="text1"/>
          <w:sz w:val="20"/>
          <w:szCs w:val="16"/>
        </w:rPr>
        <w:t xml:space="preserve">, at 19. </w:t>
      </w:r>
    </w:p>
  </w:footnote>
  <w:footnote w:id="51">
    <w:p w14:paraId="7F4C0236" w14:textId="354650D3"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smallCaps/>
          <w:color w:val="000000" w:themeColor="text1"/>
          <w:sz w:val="20"/>
          <w:szCs w:val="16"/>
        </w:rPr>
        <w:t xml:space="preserve">Fowler et al.,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_Ref492481629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10</w:t>
      </w:r>
      <w:r w:rsidRPr="00B31D29">
        <w:rPr>
          <w:color w:val="000000" w:themeColor="text1"/>
          <w:sz w:val="20"/>
          <w:szCs w:val="16"/>
        </w:rPr>
        <w:fldChar w:fldCharType="end"/>
      </w:r>
      <w:r w:rsidRPr="00B31D29">
        <w:rPr>
          <w:color w:val="000000" w:themeColor="text1"/>
          <w:sz w:val="20"/>
          <w:szCs w:val="16"/>
        </w:rPr>
        <w:t xml:space="preserve">, at 19 (citing </w:t>
      </w:r>
      <w:r w:rsidRPr="00B31D29">
        <w:rPr>
          <w:color w:val="000000" w:themeColor="text1"/>
          <w:sz w:val="20"/>
          <w:szCs w:val="16"/>
          <w:shd w:val="clear" w:color="auto" w:fill="FFFFFF"/>
        </w:rPr>
        <w:t>Buckley, 424 U.S. at 44 n.52</w:t>
      </w:r>
      <w:r w:rsidRPr="00B31D29">
        <w:rPr>
          <w:color w:val="000000" w:themeColor="text1"/>
          <w:sz w:val="20"/>
          <w:szCs w:val="16"/>
        </w:rPr>
        <w:t xml:space="preserve">). </w:t>
      </w:r>
    </w:p>
  </w:footnote>
  <w:footnote w:id="52">
    <w:p w14:paraId="21FDD472" w14:textId="610A0426"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Id. </w:t>
      </w:r>
      <w:r w:rsidRPr="00B31D29">
        <w:rPr>
          <w:color w:val="000000" w:themeColor="text1"/>
          <w:sz w:val="20"/>
          <w:szCs w:val="16"/>
        </w:rPr>
        <w:t>at 19.</w:t>
      </w:r>
    </w:p>
  </w:footnote>
  <w:footnote w:id="53">
    <w:p w14:paraId="21CBD296" w14:textId="7F28B4CA"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See </w:t>
      </w:r>
      <w:r w:rsidRPr="00B31D29">
        <w:rPr>
          <w:color w:val="000000" w:themeColor="text1"/>
          <w:sz w:val="20"/>
          <w:szCs w:val="16"/>
        </w:rPr>
        <w:t xml:space="preserve">Spencer &amp; Wood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_Ref492481631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49</w:t>
      </w:r>
      <w:r w:rsidRPr="00B31D29">
        <w:rPr>
          <w:color w:val="000000" w:themeColor="text1"/>
          <w:sz w:val="20"/>
          <w:szCs w:val="16"/>
        </w:rPr>
        <w:fldChar w:fldCharType="end"/>
      </w:r>
      <w:r w:rsidRPr="00B31D29">
        <w:rPr>
          <w:color w:val="000000" w:themeColor="text1"/>
          <w:sz w:val="20"/>
          <w:szCs w:val="16"/>
        </w:rPr>
        <w:t xml:space="preserve">, at 319. </w:t>
      </w:r>
      <w:r w:rsidRPr="00B31D29">
        <w:rPr>
          <w:i/>
          <w:color w:val="000000" w:themeColor="text1"/>
          <w:sz w:val="20"/>
          <w:szCs w:val="16"/>
        </w:rPr>
        <w:t xml:space="preserve">See also </w:t>
      </w:r>
      <w:r w:rsidRPr="00B31D29">
        <w:rPr>
          <w:smallCaps/>
          <w:color w:val="000000" w:themeColor="text1"/>
          <w:sz w:val="20"/>
          <w:szCs w:val="16"/>
        </w:rPr>
        <w:t>Fowler et al.,</w:t>
      </w:r>
      <w:r w:rsidRPr="00B31D29">
        <w:rPr>
          <w:color w:val="000000" w:themeColor="text1"/>
          <w:sz w:val="20"/>
          <w:szCs w:val="16"/>
        </w:rPr>
        <w:t xml:space="preserve"> </w:t>
      </w:r>
      <w:r w:rsidRPr="00B31D29">
        <w:rPr>
          <w:i/>
          <w:color w:val="000000" w:themeColor="text1"/>
          <w:sz w:val="20"/>
          <w:szCs w:val="16"/>
        </w:rPr>
        <w:t xml:space="preserve">supra </w:t>
      </w:r>
      <w:r w:rsidRPr="00B31D29">
        <w:rPr>
          <w:color w:val="000000" w:themeColor="text1"/>
          <w:sz w:val="20"/>
          <w:szCs w:val="16"/>
        </w:rPr>
        <w:t xml:space="preserve">note </w:t>
      </w:r>
      <w:r w:rsidRPr="00B31D29">
        <w:rPr>
          <w:color w:val="000000" w:themeColor="text1"/>
          <w:sz w:val="20"/>
          <w:szCs w:val="16"/>
        </w:rPr>
        <w:fldChar w:fldCharType="begin"/>
      </w:r>
      <w:r w:rsidRPr="00B31D29">
        <w:rPr>
          <w:color w:val="000000" w:themeColor="text1"/>
          <w:sz w:val="20"/>
          <w:szCs w:val="16"/>
        </w:rPr>
        <w:instrText xml:space="preserve"> NOTEREF _Ref492481629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10</w:t>
      </w:r>
      <w:r w:rsidRPr="00B31D29">
        <w:rPr>
          <w:color w:val="000000" w:themeColor="text1"/>
          <w:sz w:val="20"/>
          <w:szCs w:val="16"/>
        </w:rPr>
        <w:fldChar w:fldCharType="end"/>
      </w:r>
      <w:r w:rsidRPr="00B31D29">
        <w:rPr>
          <w:color w:val="000000" w:themeColor="text1"/>
          <w:sz w:val="20"/>
          <w:szCs w:val="16"/>
        </w:rPr>
        <w:t>, at 19–20 (explaining political parties’ general strategy shift following BCRA).</w:t>
      </w:r>
    </w:p>
  </w:footnote>
  <w:footnote w:id="54">
    <w:p w14:paraId="235A8EAC" w14:textId="57ACAB3C"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 xml:space="preserve">Spencer &amp; Wood, </w:t>
      </w:r>
      <w:r w:rsidRPr="00B31D29">
        <w:rPr>
          <w:i/>
          <w:color w:val="000000" w:themeColor="text1"/>
          <w:sz w:val="20"/>
          <w:szCs w:val="16"/>
        </w:rPr>
        <w:t xml:space="preserve">supra </w:t>
      </w:r>
      <w:r w:rsidRPr="00B31D29">
        <w:rPr>
          <w:color w:val="000000" w:themeColor="text1"/>
          <w:sz w:val="20"/>
          <w:szCs w:val="16"/>
        </w:rPr>
        <w:t xml:space="preserve">note </w:t>
      </w:r>
      <w:r w:rsidRPr="00B31D29">
        <w:rPr>
          <w:color w:val="000000" w:themeColor="text1"/>
          <w:sz w:val="20"/>
          <w:szCs w:val="16"/>
        </w:rPr>
        <w:fldChar w:fldCharType="begin"/>
      </w:r>
      <w:r w:rsidRPr="00B31D29">
        <w:rPr>
          <w:color w:val="000000" w:themeColor="text1"/>
          <w:sz w:val="20"/>
          <w:szCs w:val="16"/>
        </w:rPr>
        <w:instrText xml:space="preserve"> NOTEREF _Ref492481631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49</w:t>
      </w:r>
      <w:r w:rsidRPr="00B31D29">
        <w:rPr>
          <w:color w:val="000000" w:themeColor="text1"/>
          <w:sz w:val="20"/>
          <w:szCs w:val="16"/>
        </w:rPr>
        <w:fldChar w:fldCharType="end"/>
      </w:r>
      <w:r w:rsidRPr="00B31D29">
        <w:rPr>
          <w:color w:val="000000" w:themeColor="text1"/>
          <w:sz w:val="20"/>
          <w:szCs w:val="16"/>
        </w:rPr>
        <w:t xml:space="preserve">, at 319–20. </w:t>
      </w:r>
    </w:p>
  </w:footnote>
  <w:footnote w:id="55">
    <w:p w14:paraId="64202F94" w14:textId="0B146A37"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color w:val="000000" w:themeColor="text1"/>
          <w:sz w:val="20"/>
        </w:rPr>
        <w:t xml:space="preserve">Bipartisan Campaign Reform Act of 2002, Pub. L. No. 107-155, </w:t>
      </w:r>
      <w:r w:rsidRPr="00B31D29">
        <w:rPr>
          <w:color w:val="000000" w:themeColor="text1"/>
          <w:sz w:val="20"/>
          <w:szCs w:val="16"/>
        </w:rPr>
        <w:t xml:space="preserve">sec. 201(a), § 304(f)(3), </w:t>
      </w:r>
      <w:r w:rsidRPr="00B31D29">
        <w:rPr>
          <w:color w:val="000000" w:themeColor="text1"/>
          <w:sz w:val="20"/>
        </w:rPr>
        <w:t xml:space="preserve">116 Stat. 81, 89 </w:t>
      </w:r>
      <w:r w:rsidRPr="00B31D29">
        <w:rPr>
          <w:color w:val="000000" w:themeColor="text1"/>
          <w:sz w:val="20"/>
          <w:szCs w:val="16"/>
        </w:rPr>
        <w:t>(codified as amended at 52 U.S.C. § 30104(f)(3) (2015)).</w:t>
      </w:r>
    </w:p>
  </w:footnote>
  <w:footnote w:id="56">
    <w:p w14:paraId="41CE2B77" w14:textId="7BDC7E39"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w:t>
      </w:r>
    </w:p>
  </w:footnote>
  <w:footnote w:id="57">
    <w:p w14:paraId="1D6640E2" w14:textId="1631EE66"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 xml:space="preserve">Spencer &amp; Wood,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_Ref492481631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49</w:t>
      </w:r>
      <w:r w:rsidRPr="00B31D29">
        <w:rPr>
          <w:color w:val="000000" w:themeColor="text1"/>
          <w:sz w:val="20"/>
          <w:szCs w:val="16"/>
        </w:rPr>
        <w:fldChar w:fldCharType="end"/>
      </w:r>
      <w:r w:rsidRPr="00B31D29">
        <w:rPr>
          <w:color w:val="000000" w:themeColor="text1"/>
          <w:sz w:val="20"/>
          <w:szCs w:val="16"/>
        </w:rPr>
        <w:t xml:space="preserve">, at 320. </w:t>
      </w:r>
    </w:p>
  </w:footnote>
  <w:footnote w:id="58">
    <w:p w14:paraId="76D3F0F8" w14:textId="5714FE07"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See </w:t>
      </w:r>
      <w:r w:rsidRPr="00B31D29">
        <w:rPr>
          <w:color w:val="000000" w:themeColor="text1"/>
          <w:sz w:val="20"/>
          <w:szCs w:val="16"/>
        </w:rPr>
        <w:t xml:space="preserve">McConnell v. FEC, 540 U.S. 93 (2003), </w:t>
      </w:r>
      <w:r w:rsidRPr="00B31D29">
        <w:rPr>
          <w:i/>
          <w:color w:val="000000" w:themeColor="text1"/>
          <w:sz w:val="20"/>
          <w:szCs w:val="16"/>
        </w:rPr>
        <w:t>overruled in part by</w:t>
      </w:r>
      <w:r w:rsidRPr="00B31D29">
        <w:rPr>
          <w:color w:val="000000" w:themeColor="text1"/>
          <w:sz w:val="20"/>
          <w:szCs w:val="16"/>
        </w:rPr>
        <w:t xml:space="preserve"> Citizens United v. FEC, 558 U.S. 310 (2010). </w:t>
      </w:r>
      <w:r w:rsidRPr="00B31D29">
        <w:rPr>
          <w:i/>
          <w:color w:val="000000" w:themeColor="text1"/>
          <w:sz w:val="20"/>
          <w:szCs w:val="16"/>
        </w:rPr>
        <w:t>See also</w:t>
      </w:r>
      <w:r w:rsidRPr="00B31D29">
        <w:rPr>
          <w:color w:val="000000" w:themeColor="text1"/>
          <w:sz w:val="20"/>
          <w:szCs w:val="16"/>
        </w:rPr>
        <w:t xml:space="preserve"> William M. Welch &amp; Jim Drinkard, </w:t>
      </w:r>
      <w:r w:rsidRPr="00B31D29">
        <w:rPr>
          <w:i/>
          <w:color w:val="000000" w:themeColor="text1"/>
          <w:sz w:val="20"/>
          <w:szCs w:val="16"/>
        </w:rPr>
        <w:t>Passage Ends Long Struggle for McCain, Feingold</w:t>
      </w:r>
      <w:r w:rsidRPr="00B31D29">
        <w:rPr>
          <w:color w:val="000000" w:themeColor="text1"/>
          <w:sz w:val="20"/>
          <w:szCs w:val="16"/>
        </w:rPr>
        <w:t xml:space="preserve">, </w:t>
      </w:r>
      <w:r w:rsidRPr="00B31D29">
        <w:rPr>
          <w:smallCaps/>
          <w:color w:val="000000" w:themeColor="text1"/>
          <w:sz w:val="20"/>
          <w:szCs w:val="16"/>
        </w:rPr>
        <w:t>USA Today</w:t>
      </w:r>
      <w:r w:rsidRPr="00B31D29">
        <w:rPr>
          <w:color w:val="000000" w:themeColor="text1"/>
          <w:sz w:val="20"/>
          <w:szCs w:val="16"/>
        </w:rPr>
        <w:t xml:space="preserve"> (Mar. 20, 2002, 10:24 PM), http://usatoday30.usatoday.com/</w:t>
      </w:r>
      <w:r w:rsidRPr="00B31D29">
        <w:rPr>
          <w:color w:val="000000" w:themeColor="text1"/>
          <w:sz w:val="20"/>
          <w:szCs w:val="16"/>
        </w:rPr>
        <w:br/>
        <w:t xml:space="preserve">news/washdc/2002/03/21/usat-mccain.htm (reporting that Republican Senator Mitch McConnell vowed to challenge BCRA in court even before President Bush signed the bill into law). </w:t>
      </w:r>
    </w:p>
  </w:footnote>
  <w:footnote w:id="59">
    <w:p w14:paraId="3BD05640" w14:textId="14936B1E"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McConnell</w:t>
      </w:r>
      <w:r w:rsidRPr="00B31D29">
        <w:rPr>
          <w:color w:val="000000" w:themeColor="text1"/>
          <w:sz w:val="20"/>
          <w:szCs w:val="16"/>
        </w:rPr>
        <w:t xml:space="preserve">, 540 U.S. at 201–02. </w:t>
      </w:r>
      <w:r w:rsidRPr="00B31D29">
        <w:rPr>
          <w:i/>
          <w:color w:val="000000" w:themeColor="text1"/>
          <w:sz w:val="20"/>
          <w:szCs w:val="16"/>
        </w:rPr>
        <w:t xml:space="preserve">See also </w:t>
      </w:r>
      <w:r w:rsidRPr="00B31D29">
        <w:rPr>
          <w:color w:val="000000" w:themeColor="text1"/>
          <w:sz w:val="20"/>
          <w:szCs w:val="16"/>
        </w:rPr>
        <w:t xml:space="preserve">Spencer &amp; Wood,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_Ref492481631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49</w:t>
      </w:r>
      <w:r w:rsidRPr="00B31D29">
        <w:rPr>
          <w:color w:val="000000" w:themeColor="text1"/>
          <w:sz w:val="20"/>
          <w:szCs w:val="16"/>
        </w:rPr>
        <w:fldChar w:fldCharType="end"/>
      </w:r>
      <w:r w:rsidRPr="00B31D29">
        <w:rPr>
          <w:color w:val="000000" w:themeColor="text1"/>
          <w:sz w:val="20"/>
          <w:szCs w:val="16"/>
        </w:rPr>
        <w:t xml:space="preserve">, at 321. </w:t>
      </w:r>
    </w:p>
  </w:footnote>
  <w:footnote w:id="60">
    <w:p w14:paraId="4289AE57" w14:textId="768109E1"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McConnell</w:t>
      </w:r>
      <w:r w:rsidRPr="00B31D29">
        <w:rPr>
          <w:color w:val="000000" w:themeColor="text1"/>
          <w:sz w:val="20"/>
          <w:szCs w:val="16"/>
        </w:rPr>
        <w:t xml:space="preserve">, 540 U.S. at 201–02. </w:t>
      </w:r>
      <w:r w:rsidRPr="00B31D29">
        <w:rPr>
          <w:i/>
          <w:color w:val="000000" w:themeColor="text1"/>
          <w:sz w:val="20"/>
          <w:szCs w:val="16"/>
        </w:rPr>
        <w:t xml:space="preserve">See also </w:t>
      </w:r>
      <w:r w:rsidRPr="00B31D29">
        <w:rPr>
          <w:color w:val="000000" w:themeColor="text1"/>
          <w:sz w:val="20"/>
          <w:szCs w:val="16"/>
        </w:rPr>
        <w:t xml:space="preserve">Spencer &amp; Wood,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_Ref492481631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49</w:t>
      </w:r>
      <w:r w:rsidRPr="00B31D29">
        <w:rPr>
          <w:color w:val="000000" w:themeColor="text1"/>
          <w:sz w:val="20"/>
          <w:szCs w:val="16"/>
        </w:rPr>
        <w:fldChar w:fldCharType="end"/>
      </w:r>
      <w:r w:rsidRPr="00B31D29">
        <w:rPr>
          <w:color w:val="000000" w:themeColor="text1"/>
          <w:sz w:val="20"/>
          <w:szCs w:val="16"/>
        </w:rPr>
        <w:t xml:space="preserve">, at 321. </w:t>
      </w:r>
    </w:p>
  </w:footnote>
  <w:footnote w:id="61">
    <w:p w14:paraId="36F21852" w14:textId="4F64EE7B"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color w:val="000000" w:themeColor="text1"/>
          <w:sz w:val="20"/>
        </w:rPr>
        <w:t xml:space="preserve">Bipartisan Campaign Reform Act </w:t>
      </w:r>
      <w:r w:rsidRPr="00B31D29">
        <w:rPr>
          <w:color w:val="000000" w:themeColor="text1"/>
          <w:sz w:val="20"/>
          <w:szCs w:val="16"/>
        </w:rPr>
        <w:t xml:space="preserve">§ 201; </w:t>
      </w:r>
      <w:r w:rsidRPr="00B31D29">
        <w:rPr>
          <w:i/>
          <w:color w:val="000000" w:themeColor="text1"/>
          <w:sz w:val="20"/>
          <w:szCs w:val="16"/>
        </w:rPr>
        <w:t>McConnell</w:t>
      </w:r>
      <w:r w:rsidRPr="00B31D29">
        <w:rPr>
          <w:color w:val="000000" w:themeColor="text1"/>
          <w:sz w:val="20"/>
          <w:szCs w:val="16"/>
        </w:rPr>
        <w:t xml:space="preserve">, 540 U.S. at 194–202. </w:t>
      </w:r>
      <w:r w:rsidRPr="00B31D29">
        <w:rPr>
          <w:i/>
          <w:color w:val="000000" w:themeColor="text1"/>
          <w:sz w:val="20"/>
          <w:szCs w:val="16"/>
        </w:rPr>
        <w:t>See also</w:t>
      </w:r>
      <w:r w:rsidRPr="00B31D29">
        <w:rPr>
          <w:color w:val="000000" w:themeColor="text1"/>
          <w:sz w:val="20"/>
          <w:szCs w:val="16"/>
        </w:rPr>
        <w:t xml:space="preserve"> Heerwig &amp; Shaw,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_Ref492481628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6</w:t>
      </w:r>
      <w:r w:rsidRPr="00B31D29">
        <w:rPr>
          <w:color w:val="000000" w:themeColor="text1"/>
          <w:sz w:val="20"/>
          <w:szCs w:val="16"/>
        </w:rPr>
        <w:fldChar w:fldCharType="end"/>
      </w:r>
      <w:r w:rsidRPr="00B31D29">
        <w:rPr>
          <w:color w:val="000000" w:themeColor="text1"/>
          <w:sz w:val="20"/>
          <w:szCs w:val="16"/>
        </w:rPr>
        <w:t xml:space="preserve">, at 1453–54. </w:t>
      </w:r>
    </w:p>
  </w:footnote>
  <w:footnote w:id="62">
    <w:p w14:paraId="009BDE08" w14:textId="6E1DB454"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McConnell</w:t>
      </w:r>
      <w:r w:rsidRPr="00B31D29">
        <w:rPr>
          <w:color w:val="000000" w:themeColor="text1"/>
          <w:sz w:val="20"/>
          <w:szCs w:val="16"/>
        </w:rPr>
        <w:t xml:space="preserve">, 540 U.S. at 196–202. </w:t>
      </w:r>
      <w:r w:rsidRPr="00B31D29">
        <w:rPr>
          <w:i/>
          <w:color w:val="000000" w:themeColor="text1"/>
          <w:sz w:val="20"/>
          <w:szCs w:val="16"/>
        </w:rPr>
        <w:t>See also</w:t>
      </w:r>
      <w:r w:rsidRPr="00B31D29">
        <w:rPr>
          <w:color w:val="000000" w:themeColor="text1"/>
          <w:sz w:val="20"/>
          <w:szCs w:val="16"/>
        </w:rPr>
        <w:t xml:space="preserve"> Heerwig &amp; Shaw,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_Ref492481628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6</w:t>
      </w:r>
      <w:r w:rsidRPr="00B31D29">
        <w:rPr>
          <w:color w:val="000000" w:themeColor="text1"/>
          <w:sz w:val="20"/>
          <w:szCs w:val="16"/>
        </w:rPr>
        <w:fldChar w:fldCharType="end"/>
      </w:r>
      <w:r w:rsidRPr="00B31D29">
        <w:rPr>
          <w:color w:val="000000" w:themeColor="text1"/>
          <w:sz w:val="20"/>
          <w:szCs w:val="16"/>
        </w:rPr>
        <w:t xml:space="preserve">, at 1454. </w:t>
      </w:r>
    </w:p>
  </w:footnote>
  <w:footnote w:id="63">
    <w:p w14:paraId="76A17D05" w14:textId="049BFDF2"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McConnell</w:t>
      </w:r>
      <w:r w:rsidRPr="00B31D29">
        <w:rPr>
          <w:color w:val="000000" w:themeColor="text1"/>
          <w:sz w:val="20"/>
          <w:szCs w:val="16"/>
        </w:rPr>
        <w:t xml:space="preserve">, 540 U.S. at 196. </w:t>
      </w:r>
      <w:r w:rsidRPr="00B31D29">
        <w:rPr>
          <w:i/>
          <w:color w:val="000000" w:themeColor="text1"/>
          <w:sz w:val="20"/>
          <w:szCs w:val="16"/>
        </w:rPr>
        <w:t>See also</w:t>
      </w:r>
      <w:r w:rsidRPr="00B31D29">
        <w:rPr>
          <w:color w:val="000000" w:themeColor="text1"/>
          <w:sz w:val="20"/>
          <w:szCs w:val="16"/>
        </w:rPr>
        <w:t xml:space="preserve"> Heerwig &amp; Shaw,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_Ref492481628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6</w:t>
      </w:r>
      <w:r w:rsidRPr="00B31D29">
        <w:rPr>
          <w:color w:val="000000" w:themeColor="text1"/>
          <w:sz w:val="20"/>
          <w:szCs w:val="16"/>
        </w:rPr>
        <w:fldChar w:fldCharType="end"/>
      </w:r>
      <w:r w:rsidRPr="00B31D29">
        <w:rPr>
          <w:color w:val="000000" w:themeColor="text1"/>
          <w:sz w:val="20"/>
          <w:szCs w:val="16"/>
        </w:rPr>
        <w:t>, at 1454.</w:t>
      </w:r>
    </w:p>
  </w:footnote>
  <w:footnote w:id="64">
    <w:p w14:paraId="2C4617CA" w14:textId="6F69D11A"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 xml:space="preserve">FEC v. Wis. Right to Life, Inc., 551 U.S. 449, 469–70 (2007) (per curiam) (emphasis added). </w:t>
      </w:r>
      <w:r w:rsidRPr="00B31D29">
        <w:rPr>
          <w:i/>
          <w:color w:val="000000" w:themeColor="text1"/>
          <w:sz w:val="20"/>
          <w:szCs w:val="16"/>
        </w:rPr>
        <w:t xml:space="preserve">See also </w:t>
      </w:r>
      <w:r w:rsidRPr="00B31D29">
        <w:rPr>
          <w:color w:val="000000" w:themeColor="text1"/>
          <w:sz w:val="20"/>
          <w:szCs w:val="16"/>
        </w:rPr>
        <w:t xml:space="preserve">Spencer &amp; Wood,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_Ref492481631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49</w:t>
      </w:r>
      <w:r w:rsidRPr="00B31D29">
        <w:rPr>
          <w:color w:val="000000" w:themeColor="text1"/>
          <w:sz w:val="20"/>
          <w:szCs w:val="16"/>
        </w:rPr>
        <w:fldChar w:fldCharType="end"/>
      </w:r>
      <w:r w:rsidRPr="00B31D29">
        <w:rPr>
          <w:color w:val="000000" w:themeColor="text1"/>
          <w:sz w:val="20"/>
          <w:szCs w:val="16"/>
        </w:rPr>
        <w:t>, at 321–22.</w:t>
      </w:r>
    </w:p>
  </w:footnote>
  <w:footnote w:id="65">
    <w:p w14:paraId="180B5FDA" w14:textId="6D3CD171"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 xml:space="preserve">Citizens United v. FEC, 558 U.S. 310, 318 (2010). </w:t>
      </w:r>
    </w:p>
  </w:footnote>
  <w:footnote w:id="66">
    <w:p w14:paraId="0768DBE8" w14:textId="791F2DD7"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318–22. </w:t>
      </w:r>
      <w:r w:rsidRPr="00B31D29">
        <w:rPr>
          <w:i/>
          <w:color w:val="000000" w:themeColor="text1"/>
          <w:sz w:val="20"/>
          <w:szCs w:val="16"/>
        </w:rPr>
        <w:t xml:space="preserve">See also </w:t>
      </w:r>
      <w:r w:rsidRPr="00B31D29">
        <w:rPr>
          <w:color w:val="000000" w:themeColor="text1"/>
          <w:sz w:val="20"/>
          <w:szCs w:val="16"/>
        </w:rPr>
        <w:t xml:space="preserve">2 U.S.C. § 441(b) (2006). For additional background on how the case that became </w:t>
      </w:r>
      <w:r w:rsidRPr="00B31D29">
        <w:rPr>
          <w:i/>
          <w:color w:val="000000" w:themeColor="text1"/>
          <w:sz w:val="20"/>
          <w:szCs w:val="16"/>
        </w:rPr>
        <w:t>Citizens United</w:t>
      </w:r>
      <w:r w:rsidRPr="00B31D29">
        <w:rPr>
          <w:color w:val="000000" w:themeColor="text1"/>
          <w:sz w:val="20"/>
          <w:szCs w:val="16"/>
        </w:rPr>
        <w:t xml:space="preserve"> changed as it moved through the federal court system on its way to the Supreme Court, </w:t>
      </w:r>
      <w:r w:rsidRPr="00B31D29">
        <w:rPr>
          <w:i/>
          <w:color w:val="000000" w:themeColor="text1"/>
          <w:sz w:val="20"/>
          <w:szCs w:val="16"/>
        </w:rPr>
        <w:t>see</w:t>
      </w:r>
      <w:r w:rsidRPr="00B31D29">
        <w:rPr>
          <w:color w:val="000000" w:themeColor="text1"/>
          <w:sz w:val="20"/>
          <w:szCs w:val="16"/>
        </w:rPr>
        <w:t xml:space="preserve"> Heerwig &amp; Shaw,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_Ref492481628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6</w:t>
      </w:r>
      <w:r w:rsidRPr="00B31D29">
        <w:rPr>
          <w:color w:val="000000" w:themeColor="text1"/>
          <w:sz w:val="20"/>
          <w:szCs w:val="16"/>
        </w:rPr>
        <w:fldChar w:fldCharType="end"/>
      </w:r>
      <w:r w:rsidRPr="00B31D29">
        <w:rPr>
          <w:color w:val="000000" w:themeColor="text1"/>
          <w:sz w:val="20"/>
          <w:szCs w:val="16"/>
        </w:rPr>
        <w:t xml:space="preserve">, at 1455–59; Spencer &amp; Wood,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_Ref492481631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49</w:t>
      </w:r>
      <w:r w:rsidRPr="00B31D29">
        <w:rPr>
          <w:color w:val="000000" w:themeColor="text1"/>
          <w:sz w:val="20"/>
          <w:szCs w:val="16"/>
        </w:rPr>
        <w:fldChar w:fldCharType="end"/>
      </w:r>
      <w:r w:rsidRPr="00B31D29">
        <w:rPr>
          <w:color w:val="000000" w:themeColor="text1"/>
          <w:sz w:val="20"/>
          <w:szCs w:val="16"/>
        </w:rPr>
        <w:t xml:space="preserve">, at 319–29. </w:t>
      </w:r>
    </w:p>
  </w:footnote>
  <w:footnote w:id="67">
    <w:p w14:paraId="5CC8FF1D" w14:textId="41972524"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Citizens United</w:t>
      </w:r>
      <w:r w:rsidRPr="00B31D29">
        <w:rPr>
          <w:color w:val="000000" w:themeColor="text1"/>
          <w:sz w:val="20"/>
          <w:szCs w:val="16"/>
        </w:rPr>
        <w:t xml:space="preserve">, 558 U.S. at 318–22. </w:t>
      </w:r>
      <w:r w:rsidRPr="00B31D29">
        <w:rPr>
          <w:i/>
          <w:color w:val="000000" w:themeColor="text1"/>
          <w:sz w:val="20"/>
          <w:szCs w:val="16"/>
        </w:rPr>
        <w:t xml:space="preserve">See also </w:t>
      </w:r>
      <w:r w:rsidRPr="00B31D29">
        <w:rPr>
          <w:color w:val="000000" w:themeColor="text1"/>
          <w:sz w:val="20"/>
          <w:szCs w:val="16"/>
        </w:rPr>
        <w:t>52 U.S.C. §§ 30104(f), 30120(d) (2015).</w:t>
      </w:r>
    </w:p>
  </w:footnote>
  <w:footnote w:id="68">
    <w:p w14:paraId="25EFDF57" w14:textId="000F4F85"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Citizens United</w:t>
      </w:r>
      <w:r w:rsidRPr="00B31D29">
        <w:rPr>
          <w:color w:val="000000" w:themeColor="text1"/>
          <w:sz w:val="20"/>
          <w:szCs w:val="16"/>
        </w:rPr>
        <w:t>, 558 U.S. at 366–69.</w:t>
      </w:r>
    </w:p>
  </w:footnote>
  <w:footnote w:id="69">
    <w:p w14:paraId="7E57E458" w14:textId="666A62BA"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366.</w:t>
      </w:r>
    </w:p>
  </w:footnote>
  <w:footnote w:id="70">
    <w:p w14:paraId="07551199" w14:textId="1A5A695E"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w:t>
      </w:r>
    </w:p>
  </w:footnote>
  <w:footnote w:id="71">
    <w:p w14:paraId="6590C5E3" w14:textId="3C2E93EE"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 xml:space="preserve">Spencer &amp; Wood,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_Ref492481631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49</w:t>
      </w:r>
      <w:r w:rsidRPr="00B31D29">
        <w:rPr>
          <w:color w:val="000000" w:themeColor="text1"/>
          <w:sz w:val="20"/>
          <w:szCs w:val="16"/>
        </w:rPr>
        <w:fldChar w:fldCharType="end"/>
      </w:r>
      <w:r w:rsidRPr="00B31D29">
        <w:rPr>
          <w:color w:val="000000" w:themeColor="text1"/>
          <w:sz w:val="20"/>
          <w:szCs w:val="16"/>
        </w:rPr>
        <w:t xml:space="preserve">, at 322 (citing Memorandum in Support of Preliminary Injunction Motion at 8, Citizens United v. FEC, 530 F. Supp. 2d 274 (D.D.C. 2007) (No. 07-2240)). </w:t>
      </w:r>
    </w:p>
  </w:footnote>
  <w:footnote w:id="72">
    <w:p w14:paraId="7E049537" w14:textId="63992A70"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Citizens United</w:t>
      </w:r>
      <w:r w:rsidRPr="00B31D29">
        <w:rPr>
          <w:color w:val="000000" w:themeColor="text1"/>
          <w:sz w:val="20"/>
          <w:szCs w:val="16"/>
        </w:rPr>
        <w:t xml:space="preserve">, 558 U.S. at 362–66. </w:t>
      </w:r>
    </w:p>
  </w:footnote>
  <w:footnote w:id="73">
    <w:p w14:paraId="10DD5392" w14:textId="61EDF0FE"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Id. </w:t>
      </w:r>
      <w:r w:rsidRPr="00B31D29">
        <w:rPr>
          <w:color w:val="000000" w:themeColor="text1"/>
          <w:sz w:val="20"/>
          <w:szCs w:val="16"/>
        </w:rPr>
        <w:t xml:space="preserve">at 371–72. </w:t>
      </w:r>
      <w:r w:rsidRPr="00B31D29">
        <w:rPr>
          <w:i/>
          <w:color w:val="000000" w:themeColor="text1"/>
          <w:sz w:val="20"/>
          <w:szCs w:val="16"/>
        </w:rPr>
        <w:t>See also</w:t>
      </w:r>
      <w:r w:rsidRPr="00B31D29">
        <w:rPr>
          <w:color w:val="000000" w:themeColor="text1"/>
          <w:sz w:val="20"/>
          <w:szCs w:val="16"/>
        </w:rPr>
        <w:t xml:space="preserve"> Spencer &amp; Wood,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_Ref492481631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49</w:t>
      </w:r>
      <w:r w:rsidRPr="00B31D29">
        <w:rPr>
          <w:color w:val="000000" w:themeColor="text1"/>
          <w:sz w:val="20"/>
          <w:szCs w:val="16"/>
        </w:rPr>
        <w:fldChar w:fldCharType="end"/>
      </w:r>
      <w:r w:rsidRPr="00B31D29">
        <w:rPr>
          <w:color w:val="000000" w:themeColor="text1"/>
          <w:sz w:val="20"/>
          <w:szCs w:val="16"/>
        </w:rPr>
        <w:t xml:space="preserve">, at 328. In striking down Section 203 (and 2 U.S.C. § 441(b), which it had amended), </w:t>
      </w:r>
      <w:r w:rsidRPr="00B31D29">
        <w:rPr>
          <w:i/>
          <w:color w:val="000000" w:themeColor="text1"/>
          <w:sz w:val="20"/>
          <w:szCs w:val="16"/>
        </w:rPr>
        <w:t>Citizens United</w:t>
      </w:r>
      <w:r w:rsidRPr="00B31D29">
        <w:rPr>
          <w:color w:val="000000" w:themeColor="text1"/>
          <w:sz w:val="20"/>
          <w:szCs w:val="16"/>
        </w:rPr>
        <w:t xml:space="preserve"> overruled </w:t>
      </w:r>
      <w:r w:rsidRPr="00B31D29">
        <w:rPr>
          <w:i/>
          <w:color w:val="000000" w:themeColor="text1"/>
          <w:sz w:val="20"/>
          <w:szCs w:val="16"/>
        </w:rPr>
        <w:t>Austin v. Michigan Chamber of Commerce</w:t>
      </w:r>
      <w:r w:rsidRPr="00B31D29">
        <w:rPr>
          <w:color w:val="000000" w:themeColor="text1"/>
          <w:sz w:val="20"/>
          <w:szCs w:val="16"/>
        </w:rPr>
        <w:t xml:space="preserve">, 494 U.S. 652 (1990), which had upheld the prohibition of independent expenditures by corporations and unions expressly advocating the election or defeat of a candidate, as well as the portions of </w:t>
      </w:r>
      <w:r w:rsidRPr="00B31D29">
        <w:rPr>
          <w:i/>
          <w:color w:val="000000" w:themeColor="text1"/>
          <w:sz w:val="20"/>
          <w:szCs w:val="16"/>
        </w:rPr>
        <w:t>McConnell</w:t>
      </w:r>
      <w:r w:rsidRPr="00B31D29">
        <w:rPr>
          <w:color w:val="000000" w:themeColor="text1"/>
          <w:sz w:val="20"/>
          <w:szCs w:val="16"/>
        </w:rPr>
        <w:t xml:space="preserve"> that had upheld Section 203. </w:t>
      </w:r>
      <w:r w:rsidRPr="00B31D29">
        <w:rPr>
          <w:i/>
          <w:color w:val="000000" w:themeColor="text1"/>
          <w:sz w:val="20"/>
          <w:szCs w:val="16"/>
        </w:rPr>
        <w:t>Citizens United</w:t>
      </w:r>
      <w:r w:rsidRPr="00B31D29">
        <w:rPr>
          <w:color w:val="000000" w:themeColor="text1"/>
          <w:sz w:val="20"/>
          <w:szCs w:val="16"/>
        </w:rPr>
        <w:t>, 558 U.S. at 324–41.</w:t>
      </w:r>
    </w:p>
  </w:footnote>
  <w:footnote w:id="74">
    <w:p w14:paraId="15DBD3CB" w14:textId="0B41EA9B"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Citizens United</w:t>
      </w:r>
      <w:r w:rsidRPr="00B31D29">
        <w:rPr>
          <w:color w:val="000000" w:themeColor="text1"/>
          <w:sz w:val="20"/>
          <w:szCs w:val="16"/>
        </w:rPr>
        <w:t xml:space="preserve">, 558 U.S. at 357. </w:t>
      </w:r>
    </w:p>
  </w:footnote>
  <w:footnote w:id="75">
    <w:p w14:paraId="2D58DEBA" w14:textId="7AD1F626"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372. </w:t>
      </w:r>
    </w:p>
  </w:footnote>
  <w:footnote w:id="76">
    <w:p w14:paraId="45654017" w14:textId="3480DD0D"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366 (quoting McConnell v. FEC, 540 U.S. 93, 201 (2003)).</w:t>
      </w:r>
    </w:p>
  </w:footnote>
  <w:footnote w:id="77">
    <w:p w14:paraId="585886E0" w14:textId="4EAD1556"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Id. </w:t>
      </w:r>
      <w:r w:rsidRPr="00B31D29">
        <w:rPr>
          <w:color w:val="000000" w:themeColor="text1"/>
          <w:sz w:val="20"/>
          <w:szCs w:val="16"/>
        </w:rPr>
        <w:t xml:space="preserve">at 366–67. </w:t>
      </w:r>
    </w:p>
  </w:footnote>
  <w:footnote w:id="78">
    <w:p w14:paraId="573B1504" w14:textId="6118675F"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371. </w:t>
      </w:r>
    </w:p>
  </w:footnote>
  <w:footnote w:id="79">
    <w:p w14:paraId="10A22BE6" w14:textId="00428D45"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See id.</w:t>
      </w:r>
      <w:r w:rsidRPr="00B31D29">
        <w:rPr>
          <w:color w:val="000000" w:themeColor="text1"/>
          <w:sz w:val="20"/>
          <w:szCs w:val="16"/>
        </w:rPr>
        <w:t xml:space="preserve"> </w:t>
      </w:r>
    </w:p>
  </w:footnote>
  <w:footnote w:id="80">
    <w:p w14:paraId="66F56C7F" w14:textId="77777777" w:rsidR="00CF426F" w:rsidRPr="00B31D29" w:rsidRDefault="00CF426F" w:rsidP="00670DDC">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Buckley v. Valeo, 424 U.S. 1, 68 (1976) (per curiam) (“[W]e note and agree with appellants' concession that disclosure requirements—certainly in most applications—appear to be the least restrictive means of curbing the evils of campaign ignorance and corruption that Congress found to exist.”).</w:t>
      </w:r>
    </w:p>
  </w:footnote>
  <w:footnote w:id="81">
    <w:p w14:paraId="387ACA2E" w14:textId="2E1BF0F7"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Citizens United</w:t>
      </w:r>
      <w:r w:rsidRPr="00B31D29">
        <w:rPr>
          <w:color w:val="000000" w:themeColor="text1"/>
          <w:sz w:val="20"/>
          <w:szCs w:val="16"/>
        </w:rPr>
        <w:t xml:space="preserve">, 558 U.S. at 369. </w:t>
      </w:r>
    </w:p>
  </w:footnote>
  <w:footnote w:id="82">
    <w:p w14:paraId="59AB2651" w14:textId="00F81212"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w:t>
      </w:r>
    </w:p>
  </w:footnote>
  <w:footnote w:id="83">
    <w:p w14:paraId="15E9E8F0" w14:textId="5CA7A6C7"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See, e.g.</w:t>
      </w:r>
      <w:r w:rsidRPr="00B31D29">
        <w:rPr>
          <w:color w:val="000000" w:themeColor="text1"/>
          <w:sz w:val="20"/>
          <w:szCs w:val="16"/>
        </w:rPr>
        <w:t>,</w:t>
      </w:r>
      <w:r w:rsidRPr="00B31D29">
        <w:rPr>
          <w:i/>
          <w:color w:val="000000" w:themeColor="text1"/>
          <w:sz w:val="20"/>
          <w:szCs w:val="16"/>
        </w:rPr>
        <w:t xml:space="preserve"> </w:t>
      </w:r>
      <w:r w:rsidRPr="00B31D29">
        <w:rPr>
          <w:color w:val="000000" w:themeColor="text1"/>
          <w:sz w:val="20"/>
          <w:szCs w:val="16"/>
        </w:rPr>
        <w:t>McIntyre v. Ohio Elections Comm’n, 514 U.S. 334, 347–57 (1995) (striking down an Ohio statute prohibiting the distribution of anonymous campaign literature because it was not narrowly tailored to “serve an overriding state interest” and outlawed a category of speech in violation of the First Amendment); Brown v. Socialist Workers ’74 Campaign Comm., 459 U.S. 87, 88, 101–02 (1982) (striking down an Ohio statute requiring candidates for political office to disclose every contributor and recipient of campaign funds as applied to a minor political party that had been historically subject to harassment).</w:t>
      </w:r>
    </w:p>
  </w:footnote>
  <w:footnote w:id="84">
    <w:p w14:paraId="499A0E29" w14:textId="2CB49506"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See</w:t>
      </w:r>
      <w:r w:rsidRPr="00B31D29">
        <w:rPr>
          <w:color w:val="000000" w:themeColor="text1"/>
          <w:sz w:val="20"/>
          <w:szCs w:val="16"/>
        </w:rPr>
        <w:t xml:space="preserve"> Shaw, </w:t>
      </w:r>
      <w:r w:rsidRPr="00B31D29">
        <w:rPr>
          <w:i/>
          <w:color w:val="000000" w:themeColor="text1"/>
          <w:sz w:val="20"/>
          <w:szCs w:val="16"/>
        </w:rPr>
        <w:t xml:space="preserve">supra </w:t>
      </w:r>
      <w:r w:rsidRPr="00B31D29">
        <w:rPr>
          <w:color w:val="000000" w:themeColor="text1"/>
          <w:sz w:val="20"/>
          <w:szCs w:val="16"/>
        </w:rPr>
        <w:t xml:space="preserve">note </w:t>
      </w:r>
      <w:r w:rsidRPr="00B31D29">
        <w:rPr>
          <w:color w:val="000000" w:themeColor="text1"/>
          <w:sz w:val="20"/>
          <w:szCs w:val="16"/>
        </w:rPr>
        <w:fldChar w:fldCharType="begin"/>
      </w:r>
      <w:r w:rsidRPr="00B31D29">
        <w:rPr>
          <w:color w:val="000000" w:themeColor="text1"/>
          <w:sz w:val="20"/>
          <w:szCs w:val="16"/>
        </w:rPr>
        <w:instrText xml:space="preserve"> NOTEREF _Ref492481633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8</w:t>
      </w:r>
      <w:r w:rsidRPr="00B31D29">
        <w:rPr>
          <w:color w:val="000000" w:themeColor="text1"/>
          <w:sz w:val="20"/>
          <w:szCs w:val="16"/>
        </w:rPr>
        <w:fldChar w:fldCharType="end"/>
      </w:r>
      <w:r w:rsidRPr="00B31D29">
        <w:rPr>
          <w:color w:val="000000" w:themeColor="text1"/>
          <w:sz w:val="20"/>
          <w:szCs w:val="16"/>
        </w:rPr>
        <w:t xml:space="preserve">, at 21–24; </w:t>
      </w:r>
      <w:r w:rsidRPr="00B31D29">
        <w:rPr>
          <w:i/>
          <w:color w:val="000000" w:themeColor="text1"/>
          <w:sz w:val="20"/>
          <w:szCs w:val="16"/>
        </w:rPr>
        <w:t>Show Me the Money</w:t>
      </w:r>
      <w:r w:rsidRPr="00B31D29">
        <w:rPr>
          <w:color w:val="000000" w:themeColor="text1"/>
          <w:sz w:val="20"/>
          <w:szCs w:val="16"/>
        </w:rPr>
        <w:t xml:space="preserve">,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_Ref492481628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6</w:t>
      </w:r>
      <w:r w:rsidRPr="00B31D29">
        <w:rPr>
          <w:color w:val="000000" w:themeColor="text1"/>
          <w:sz w:val="20"/>
          <w:szCs w:val="16"/>
        </w:rPr>
        <w:fldChar w:fldCharType="end"/>
      </w:r>
      <w:r w:rsidRPr="00B31D29">
        <w:rPr>
          <w:color w:val="000000" w:themeColor="text1"/>
          <w:sz w:val="20"/>
          <w:szCs w:val="16"/>
        </w:rPr>
        <w:t xml:space="preserve">, at 7. </w:t>
      </w:r>
    </w:p>
  </w:footnote>
  <w:footnote w:id="85">
    <w:p w14:paraId="361E25F8" w14:textId="26C5CB85"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 xml:space="preserve">Shaw,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_Ref492481633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8</w:t>
      </w:r>
      <w:r w:rsidRPr="00B31D29">
        <w:rPr>
          <w:color w:val="000000" w:themeColor="text1"/>
          <w:sz w:val="20"/>
          <w:szCs w:val="16"/>
        </w:rPr>
        <w:fldChar w:fldCharType="end"/>
      </w:r>
      <w:r w:rsidRPr="00B31D29">
        <w:rPr>
          <w:color w:val="000000" w:themeColor="text1"/>
          <w:sz w:val="20"/>
          <w:szCs w:val="16"/>
        </w:rPr>
        <w:t xml:space="preserve">, at 22–24. </w:t>
      </w:r>
    </w:p>
  </w:footnote>
  <w:footnote w:id="86">
    <w:p w14:paraId="3DA36439" w14:textId="6E51E2DD"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w:t>
      </w:r>
    </w:p>
  </w:footnote>
  <w:footnote w:id="87">
    <w:p w14:paraId="4048C356" w14:textId="0D1D61FF"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Show Me the Money</w:t>
      </w:r>
      <w:r w:rsidRPr="00B31D29">
        <w:rPr>
          <w:color w:val="000000" w:themeColor="text1"/>
          <w:sz w:val="20"/>
          <w:szCs w:val="16"/>
        </w:rPr>
        <w:t xml:space="preserve">,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_Ref492481628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6</w:t>
      </w:r>
      <w:r w:rsidRPr="00B31D29">
        <w:rPr>
          <w:color w:val="000000" w:themeColor="text1"/>
          <w:sz w:val="20"/>
          <w:szCs w:val="16"/>
        </w:rPr>
        <w:fldChar w:fldCharType="end"/>
      </w:r>
      <w:r w:rsidRPr="00B31D29">
        <w:rPr>
          <w:color w:val="000000" w:themeColor="text1"/>
          <w:sz w:val="20"/>
          <w:szCs w:val="16"/>
        </w:rPr>
        <w:t>, at 7.</w:t>
      </w:r>
    </w:p>
  </w:footnote>
  <w:footnote w:id="88">
    <w:p w14:paraId="427A91E9" w14:textId="09CEB845"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 xml:space="preserve">Buckley v. Valeo, 424 U.S. 1, 66–68 (1976) (per curiam). </w:t>
      </w:r>
    </w:p>
  </w:footnote>
  <w:footnote w:id="89">
    <w:p w14:paraId="733C5F0C" w14:textId="50191AE5"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 xml:space="preserve">Abby K. Wood, Campaign Finance Disclosure 4–5 (Nov. 12, 2016) (unpublished manuscript) (on file with author). </w:t>
      </w:r>
    </w:p>
  </w:footnote>
  <w:footnote w:id="90">
    <w:p w14:paraId="6E175388" w14:textId="5142C1FF"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 xml:space="preserve">Arthur Lupia, </w:t>
      </w:r>
      <w:r w:rsidRPr="00B31D29">
        <w:rPr>
          <w:i/>
          <w:color w:val="000000" w:themeColor="text1"/>
          <w:sz w:val="20"/>
          <w:szCs w:val="16"/>
        </w:rPr>
        <w:t>Shortcuts Versus Encyclopedias: Information and Voting Behavior in California Insurance Reform Elections</w:t>
      </w:r>
      <w:r w:rsidRPr="00B31D29">
        <w:rPr>
          <w:color w:val="000000" w:themeColor="text1"/>
          <w:sz w:val="20"/>
          <w:szCs w:val="16"/>
        </w:rPr>
        <w:t xml:space="preserve">, 88 </w:t>
      </w:r>
      <w:r w:rsidRPr="00B31D29">
        <w:rPr>
          <w:smallCaps/>
          <w:color w:val="000000" w:themeColor="text1"/>
          <w:sz w:val="20"/>
          <w:szCs w:val="16"/>
        </w:rPr>
        <w:t>Am. Pol. Sci. Rev</w:t>
      </w:r>
      <w:r w:rsidRPr="00B31D29">
        <w:rPr>
          <w:color w:val="000000" w:themeColor="text1"/>
          <w:sz w:val="20"/>
          <w:szCs w:val="16"/>
        </w:rPr>
        <w:t xml:space="preserve">. 63, 63–64 (1994). </w:t>
      </w:r>
    </w:p>
  </w:footnote>
  <w:footnote w:id="91">
    <w:p w14:paraId="7E17F639" w14:textId="09192563" w:rsidR="00CF426F" w:rsidRPr="00B31D29" w:rsidRDefault="00CF426F" w:rsidP="00BA13DF">
      <w:pPr>
        <w:pStyle w:val="FootNotePara"/>
        <w:ind w:firstLine="0"/>
        <w:rPr>
          <w:color w:val="000000" w:themeColor="text1"/>
          <w:sz w:val="20"/>
        </w:rPr>
      </w:pPr>
      <w:r w:rsidRPr="00B31D29">
        <w:rPr>
          <w:color w:val="000000" w:themeColor="text1"/>
          <w:sz w:val="20"/>
        </w:rPr>
        <w:tab/>
      </w:r>
      <w:r w:rsidRPr="00B31D29">
        <w:rPr>
          <w:rStyle w:val="FootnoteReference"/>
          <w:color w:val="000000" w:themeColor="text1"/>
          <w:sz w:val="20"/>
          <w:vertAlign w:val="baseline"/>
        </w:rPr>
        <w:footnoteRef/>
      </w:r>
      <w:r w:rsidRPr="00B31D29">
        <w:rPr>
          <w:color w:val="000000" w:themeColor="text1"/>
          <w:sz w:val="20"/>
        </w:rPr>
        <w:t>.</w:t>
      </w:r>
      <w:r w:rsidRPr="00B31D29">
        <w:rPr>
          <w:color w:val="000000" w:themeColor="text1"/>
          <w:sz w:val="20"/>
        </w:rPr>
        <w:tab/>
      </w:r>
      <w:r w:rsidRPr="00B31D29">
        <w:rPr>
          <w:i/>
          <w:color w:val="000000" w:themeColor="text1"/>
          <w:sz w:val="20"/>
        </w:rPr>
        <w:t>Id.</w:t>
      </w:r>
    </w:p>
  </w:footnote>
  <w:footnote w:id="92">
    <w:p w14:paraId="0FEC7222" w14:textId="24BC00F6"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71. </w:t>
      </w:r>
    </w:p>
  </w:footnote>
  <w:footnote w:id="93">
    <w:p w14:paraId="7CE34137" w14:textId="65370982"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See</w:t>
      </w:r>
      <w:r w:rsidRPr="00B31D29">
        <w:rPr>
          <w:color w:val="000000" w:themeColor="text1"/>
          <w:sz w:val="20"/>
          <w:szCs w:val="16"/>
        </w:rPr>
        <w:t xml:space="preserve"> Wood,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_Ref492481635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88</w:t>
      </w:r>
      <w:r w:rsidRPr="00B31D29">
        <w:rPr>
          <w:color w:val="000000" w:themeColor="text1"/>
          <w:sz w:val="20"/>
          <w:szCs w:val="16"/>
        </w:rPr>
        <w:fldChar w:fldCharType="end"/>
      </w:r>
      <w:r w:rsidRPr="00B31D29">
        <w:rPr>
          <w:color w:val="000000" w:themeColor="text1"/>
          <w:sz w:val="20"/>
          <w:szCs w:val="16"/>
        </w:rPr>
        <w:t xml:space="preserve">, at 5 (“The most obvious heuristic is a candidate’s party label.”). But it is important to acknowledge that scholars do not universally support the informational benefits of disclosure. David Primo also conducted a survey experiment in the ballot initiative context to measure the informational benefit of disclosure. David M. Primo, </w:t>
      </w:r>
      <w:r w:rsidRPr="00B31D29">
        <w:rPr>
          <w:i/>
          <w:color w:val="000000" w:themeColor="text1"/>
          <w:sz w:val="20"/>
          <w:szCs w:val="16"/>
        </w:rPr>
        <w:t>Information at the Margin: Campaign Finance Disclosure Laws, Ballot Issues, and Voter Knowledge</w:t>
      </w:r>
      <w:r w:rsidRPr="00B31D29">
        <w:rPr>
          <w:color w:val="000000" w:themeColor="text1"/>
          <w:sz w:val="20"/>
          <w:szCs w:val="16"/>
        </w:rPr>
        <w:t xml:space="preserve">, 12 </w:t>
      </w:r>
      <w:r w:rsidRPr="00B31D29">
        <w:rPr>
          <w:smallCaps/>
          <w:color w:val="000000" w:themeColor="text1"/>
          <w:sz w:val="20"/>
          <w:szCs w:val="16"/>
        </w:rPr>
        <w:t>Election L.J.</w:t>
      </w:r>
      <w:r w:rsidRPr="00B31D29">
        <w:rPr>
          <w:color w:val="000000" w:themeColor="text1"/>
          <w:sz w:val="20"/>
          <w:szCs w:val="16"/>
        </w:rPr>
        <w:t xml:space="preserve"> 114, 117 (2013). Focusing on a ballot issue about taxes and illegal immigration, Primo presented survey participants with a series of newspaper articles, a voter guide, and two advertisements; participants were told that they could “review as much or as little” of the information as they wanted, with most choosing to look at only a “handful of items.” </w:t>
      </w:r>
      <w:r w:rsidRPr="00B31D29">
        <w:rPr>
          <w:i/>
          <w:color w:val="000000" w:themeColor="text1"/>
          <w:sz w:val="20"/>
          <w:szCs w:val="16"/>
        </w:rPr>
        <w:t>Id.</w:t>
      </w:r>
      <w:r w:rsidRPr="00B31D29">
        <w:rPr>
          <w:color w:val="000000" w:themeColor="text1"/>
          <w:sz w:val="20"/>
          <w:szCs w:val="16"/>
        </w:rPr>
        <w:t xml:space="preserve"> at 118–20. Respondents were then asked to predict the likely position on the issue of several interest groups. The results found that responders who had access to disclosure information were only marginally better at identifying the positions of the interest groups than the control group. </w:t>
      </w:r>
      <w:r w:rsidRPr="00B31D29">
        <w:rPr>
          <w:i/>
          <w:color w:val="000000" w:themeColor="text1"/>
          <w:sz w:val="20"/>
          <w:szCs w:val="16"/>
        </w:rPr>
        <w:t>Id.</w:t>
      </w:r>
      <w:r w:rsidRPr="00B31D29">
        <w:rPr>
          <w:color w:val="000000" w:themeColor="text1"/>
          <w:sz w:val="20"/>
          <w:szCs w:val="16"/>
        </w:rPr>
        <w:t xml:space="preserve"> at 121, 125–27. Abby Wood argues, however, that the “null effect[s]” of disclosure in Primo’s study may have been due to the research design in which “subjects did not access the disclosure information at all.” </w:t>
      </w:r>
      <w:r w:rsidRPr="00B31D29">
        <w:rPr>
          <w:i/>
          <w:color w:val="000000" w:themeColor="text1"/>
          <w:sz w:val="20"/>
          <w:szCs w:val="16"/>
        </w:rPr>
        <w:t>Show Me the Money</w:t>
      </w:r>
      <w:r w:rsidRPr="00B31D29">
        <w:rPr>
          <w:color w:val="000000" w:themeColor="text1"/>
          <w:sz w:val="20"/>
          <w:szCs w:val="16"/>
        </w:rPr>
        <w:t xml:space="preserve">,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_Ref492481628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6</w:t>
      </w:r>
      <w:r w:rsidRPr="00B31D29">
        <w:rPr>
          <w:color w:val="000000" w:themeColor="text1"/>
          <w:sz w:val="20"/>
          <w:szCs w:val="16"/>
        </w:rPr>
        <w:fldChar w:fldCharType="end"/>
      </w:r>
      <w:r w:rsidRPr="00B31D29">
        <w:rPr>
          <w:color w:val="000000" w:themeColor="text1"/>
          <w:sz w:val="20"/>
          <w:szCs w:val="16"/>
        </w:rPr>
        <w:t xml:space="preserve">, at 11.   </w:t>
      </w:r>
    </w:p>
  </w:footnote>
  <w:footnote w:id="94">
    <w:p w14:paraId="3549C408" w14:textId="0978236D"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 xml:space="preserve">Conor M. Dowling &amp; Amber Wichowsky, </w:t>
      </w:r>
      <w:r w:rsidRPr="00B31D29">
        <w:rPr>
          <w:i/>
          <w:color w:val="000000" w:themeColor="text1"/>
          <w:sz w:val="20"/>
          <w:szCs w:val="16"/>
        </w:rPr>
        <w:t>Does It Matter Who’s Behind the Curtain? Anonymity in Political Advertising and the Effects of Campaign Finance Disclosure</w:t>
      </w:r>
      <w:r w:rsidRPr="00B31D29">
        <w:rPr>
          <w:color w:val="000000" w:themeColor="text1"/>
          <w:sz w:val="20"/>
          <w:szCs w:val="16"/>
        </w:rPr>
        <w:t xml:space="preserve">, 41 </w:t>
      </w:r>
      <w:r w:rsidRPr="00B31D29">
        <w:rPr>
          <w:smallCaps/>
          <w:color w:val="000000" w:themeColor="text1"/>
          <w:sz w:val="20"/>
          <w:szCs w:val="16"/>
        </w:rPr>
        <w:t>Am. Pol. Res.</w:t>
      </w:r>
      <w:r w:rsidRPr="00B31D29">
        <w:rPr>
          <w:color w:val="000000" w:themeColor="text1"/>
          <w:sz w:val="20"/>
          <w:szCs w:val="16"/>
        </w:rPr>
        <w:t xml:space="preserve"> 965, 973–74 (2013).</w:t>
      </w:r>
    </w:p>
  </w:footnote>
  <w:footnote w:id="95">
    <w:p w14:paraId="44A4D474" w14:textId="60F3CD1C"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at 974–76.</w:t>
      </w:r>
    </w:p>
  </w:footnote>
  <w:footnote w:id="96">
    <w:p w14:paraId="0277502B" w14:textId="04109413"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982–86. </w:t>
      </w:r>
    </w:p>
  </w:footnote>
  <w:footnote w:id="97">
    <w:p w14:paraId="364B35EC" w14:textId="0B0D5BC5"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981.</w:t>
      </w:r>
    </w:p>
  </w:footnote>
  <w:footnote w:id="98">
    <w:p w14:paraId="7E607055" w14:textId="357E3451"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981–83.</w:t>
      </w:r>
    </w:p>
  </w:footnote>
  <w:footnote w:id="99">
    <w:p w14:paraId="54C2564D" w14:textId="45A9D4FA"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w:t>
      </w:r>
    </w:p>
  </w:footnote>
  <w:footnote w:id="100">
    <w:p w14:paraId="3E75B7B1" w14:textId="3425C932"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See id </w:t>
      </w:r>
      <w:r w:rsidRPr="00B31D29">
        <w:rPr>
          <w:color w:val="000000" w:themeColor="text1"/>
          <w:sz w:val="20"/>
          <w:szCs w:val="16"/>
        </w:rPr>
        <w:t xml:space="preserve">at 982–86. </w:t>
      </w:r>
    </w:p>
  </w:footnote>
  <w:footnote w:id="101">
    <w:p w14:paraId="4514D479" w14:textId="28A460AD"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981–82.</w:t>
      </w:r>
    </w:p>
  </w:footnote>
  <w:footnote w:id="102">
    <w:p w14:paraId="4B27F142" w14:textId="1BC4944E"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 xml:space="preserve">Conor M. Dowling &amp; Amber Wichowsky, </w:t>
      </w:r>
      <w:r w:rsidRPr="00B31D29">
        <w:rPr>
          <w:i/>
          <w:color w:val="000000" w:themeColor="text1"/>
          <w:sz w:val="20"/>
          <w:szCs w:val="16"/>
        </w:rPr>
        <w:t>Attacks Without Consequence? Candidates, Parties, Groups, and the Changing Face of Negative Advertising</w:t>
      </w:r>
      <w:r w:rsidRPr="00B31D29">
        <w:rPr>
          <w:color w:val="000000" w:themeColor="text1"/>
          <w:sz w:val="20"/>
          <w:szCs w:val="16"/>
        </w:rPr>
        <w:t xml:space="preserve">, 59 </w:t>
      </w:r>
      <w:r w:rsidRPr="00B31D29">
        <w:rPr>
          <w:smallCaps/>
          <w:color w:val="000000" w:themeColor="text1"/>
          <w:sz w:val="20"/>
          <w:szCs w:val="16"/>
        </w:rPr>
        <w:t>Am. J. Pol. Sci</w:t>
      </w:r>
      <w:r w:rsidRPr="00B31D29">
        <w:rPr>
          <w:color w:val="000000" w:themeColor="text1"/>
          <w:sz w:val="20"/>
          <w:szCs w:val="16"/>
        </w:rPr>
        <w:t xml:space="preserve">. 19, 24–35 (2015). </w:t>
      </w:r>
    </w:p>
  </w:footnote>
  <w:footnote w:id="103">
    <w:p w14:paraId="23EDC142" w14:textId="5F7A2E8E"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24, 28–31.</w:t>
      </w:r>
    </w:p>
  </w:footnote>
  <w:footnote w:id="104">
    <w:p w14:paraId="5BAED716" w14:textId="127CCAA9" w:rsidR="00CF426F" w:rsidRPr="00B31D29" w:rsidRDefault="00CF426F" w:rsidP="008453E9">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32–35.</w:t>
      </w:r>
    </w:p>
  </w:footnote>
  <w:footnote w:id="105">
    <w:p w14:paraId="31D60513" w14:textId="76C1C9BC"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Id. </w:t>
      </w:r>
    </w:p>
  </w:footnote>
  <w:footnote w:id="106">
    <w:p w14:paraId="7A8D7BF2" w14:textId="4FFE3862"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23, 33–35.</w:t>
      </w:r>
    </w:p>
  </w:footnote>
  <w:footnote w:id="107">
    <w:p w14:paraId="20D8EF26" w14:textId="364AF4A0"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Show Me the Money</w:t>
      </w:r>
      <w:r w:rsidRPr="00B31D29">
        <w:rPr>
          <w:color w:val="000000" w:themeColor="text1"/>
          <w:sz w:val="20"/>
          <w:szCs w:val="16"/>
        </w:rPr>
        <w:t xml:space="preserve">,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_Ref492481628 \h  \* MERGEFORMAT </w:instrText>
      </w:r>
      <w:r w:rsidRPr="00B31D29">
        <w:rPr>
          <w:color w:val="000000" w:themeColor="text1"/>
          <w:sz w:val="20"/>
          <w:szCs w:val="16"/>
        </w:rPr>
      </w:r>
      <w:r w:rsidRPr="00B31D29">
        <w:rPr>
          <w:color w:val="000000" w:themeColor="text1"/>
          <w:sz w:val="20"/>
          <w:szCs w:val="16"/>
        </w:rPr>
        <w:fldChar w:fldCharType="separate"/>
      </w:r>
      <w:r w:rsidR="00203FC5" w:rsidRPr="00B31D29">
        <w:rPr>
          <w:color w:val="000000" w:themeColor="text1"/>
          <w:sz w:val="20"/>
          <w:szCs w:val="16"/>
        </w:rPr>
        <w:t>6</w:t>
      </w:r>
      <w:r w:rsidRPr="00B31D29">
        <w:rPr>
          <w:color w:val="000000" w:themeColor="text1"/>
          <w:sz w:val="20"/>
          <w:szCs w:val="16"/>
        </w:rPr>
        <w:fldChar w:fldCharType="end"/>
      </w:r>
      <w:r w:rsidRPr="00B31D29">
        <w:rPr>
          <w:color w:val="000000" w:themeColor="text1"/>
          <w:sz w:val="20"/>
          <w:szCs w:val="16"/>
        </w:rPr>
        <w:t xml:space="preserve">, at 23. </w:t>
      </w:r>
    </w:p>
  </w:footnote>
  <w:footnote w:id="108">
    <w:p w14:paraId="3D5B3E93" w14:textId="3D8AA0FF"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13–14. </w:t>
      </w:r>
    </w:p>
  </w:footnote>
  <w:footnote w:id="109">
    <w:p w14:paraId="707C68F6" w14:textId="3EB0212D"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14–16 &amp; figs.1–3.</w:t>
      </w:r>
    </w:p>
  </w:footnote>
  <w:footnote w:id="110">
    <w:p w14:paraId="6FD3A438" w14:textId="3F018942"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17–18. </w:t>
      </w:r>
    </w:p>
  </w:footnote>
  <w:footnote w:id="111">
    <w:p w14:paraId="053BC46D" w14:textId="38FB74A8"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19.</w:t>
      </w:r>
    </w:p>
  </w:footnote>
  <w:footnote w:id="112">
    <w:p w14:paraId="60EB2D90" w14:textId="21B7160B"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Id. </w:t>
      </w:r>
      <w:r w:rsidRPr="00B31D29">
        <w:rPr>
          <w:color w:val="000000" w:themeColor="text1"/>
          <w:sz w:val="20"/>
          <w:szCs w:val="16"/>
        </w:rPr>
        <w:t xml:space="preserve">at 19–20. </w:t>
      </w:r>
    </w:p>
  </w:footnote>
  <w:footnote w:id="113">
    <w:p w14:paraId="5FDBE86C" w14:textId="2035DB5D"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21, 23.</w:t>
      </w:r>
    </w:p>
  </w:footnote>
  <w:footnote w:id="114">
    <w:p w14:paraId="12706B00" w14:textId="59D4272D"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24–26. </w:t>
      </w:r>
    </w:p>
  </w:footnote>
  <w:footnote w:id="115">
    <w:p w14:paraId="7DC5AAD3" w14:textId="1ADDBD16"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See id</w:t>
      </w:r>
      <w:r w:rsidRPr="00B31D29">
        <w:rPr>
          <w:color w:val="000000" w:themeColor="text1"/>
          <w:sz w:val="20"/>
          <w:szCs w:val="16"/>
        </w:rPr>
        <w:t xml:space="preserve">. </w:t>
      </w:r>
    </w:p>
  </w:footnote>
  <w:footnote w:id="116">
    <w:p w14:paraId="233759F7" w14:textId="5A1AE598"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11 C.F.R. § 110.11(a)(1), (b)(1)–(3) (2017).</w:t>
      </w:r>
    </w:p>
  </w:footnote>
  <w:footnote w:id="117">
    <w:p w14:paraId="1D830F35" w14:textId="4E23EA62"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Id. </w:t>
      </w:r>
      <w:r w:rsidRPr="00B31D29">
        <w:rPr>
          <w:color w:val="000000" w:themeColor="text1"/>
          <w:sz w:val="20"/>
          <w:szCs w:val="16"/>
        </w:rPr>
        <w:t>§ 110.11(b)(3).</w:t>
      </w:r>
    </w:p>
  </w:footnote>
  <w:footnote w:id="118">
    <w:p w14:paraId="47EB19C1" w14:textId="7E58007F"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 110.11(c)(1). </w:t>
      </w:r>
    </w:p>
  </w:footnote>
  <w:footnote w:id="119">
    <w:p w14:paraId="2147CF1E" w14:textId="0B74BAD0"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See </w:t>
      </w:r>
      <w:r w:rsidRPr="00B31D29">
        <w:rPr>
          <w:smallCaps/>
          <w:color w:val="000000" w:themeColor="text1"/>
          <w:sz w:val="20"/>
          <w:szCs w:val="16"/>
        </w:rPr>
        <w:t xml:space="preserve">Fowler et al., </w:t>
      </w:r>
      <w:r w:rsidRPr="00B31D29">
        <w:rPr>
          <w:i/>
          <w:color w:val="000000" w:themeColor="text1"/>
          <w:sz w:val="20"/>
          <w:szCs w:val="16"/>
        </w:rPr>
        <w:t>supra</w:t>
      </w:r>
      <w:r w:rsidRPr="00B31D29">
        <w:rPr>
          <w:color w:val="000000" w:themeColor="text1"/>
          <w:sz w:val="20"/>
          <w:szCs w:val="16"/>
        </w:rPr>
        <w:t xml:space="preserve"> note</w:t>
      </w:r>
      <w:r w:rsidRPr="00B31D29">
        <w:rPr>
          <w:smallCaps/>
          <w:color w:val="000000" w:themeColor="text1"/>
          <w:sz w:val="20"/>
          <w:szCs w:val="16"/>
        </w:rPr>
        <w:t xml:space="preserve"> </w:t>
      </w:r>
      <w:r w:rsidRPr="00B31D29">
        <w:rPr>
          <w:smallCaps/>
          <w:color w:val="000000" w:themeColor="text1"/>
          <w:sz w:val="20"/>
          <w:szCs w:val="16"/>
        </w:rPr>
        <w:fldChar w:fldCharType="begin"/>
      </w:r>
      <w:r w:rsidRPr="00B31D29">
        <w:rPr>
          <w:smallCaps/>
          <w:color w:val="000000" w:themeColor="text1"/>
          <w:sz w:val="20"/>
          <w:szCs w:val="16"/>
        </w:rPr>
        <w:instrText xml:space="preserve"> NOTEREF _Ref492481629 \h </w:instrText>
      </w:r>
      <w:r w:rsidRPr="00B31D29">
        <w:rPr>
          <w:smallCaps/>
          <w:color w:val="000000" w:themeColor="text1"/>
          <w:sz w:val="20"/>
          <w:szCs w:val="16"/>
        </w:rPr>
      </w:r>
      <w:r w:rsidR="00B31D29" w:rsidRPr="00B31D29">
        <w:rPr>
          <w:smallCaps/>
          <w:color w:val="000000" w:themeColor="text1"/>
          <w:sz w:val="20"/>
          <w:szCs w:val="16"/>
        </w:rPr>
        <w:instrText xml:space="preserve"> \* MERGEFORMAT </w:instrText>
      </w:r>
      <w:r w:rsidRPr="00B31D29">
        <w:rPr>
          <w:smallCaps/>
          <w:color w:val="000000" w:themeColor="text1"/>
          <w:sz w:val="20"/>
          <w:szCs w:val="16"/>
        </w:rPr>
        <w:fldChar w:fldCharType="separate"/>
      </w:r>
      <w:r w:rsidR="00203FC5" w:rsidRPr="00B31D29">
        <w:rPr>
          <w:smallCaps/>
          <w:color w:val="000000" w:themeColor="text1"/>
          <w:sz w:val="20"/>
          <w:szCs w:val="16"/>
        </w:rPr>
        <w:t>10</w:t>
      </w:r>
      <w:r w:rsidRPr="00B31D29">
        <w:rPr>
          <w:smallCaps/>
          <w:color w:val="000000" w:themeColor="text1"/>
          <w:sz w:val="20"/>
          <w:szCs w:val="16"/>
        </w:rPr>
        <w:fldChar w:fldCharType="end"/>
      </w:r>
      <w:r w:rsidRPr="00B31D29">
        <w:rPr>
          <w:smallCaps/>
          <w:color w:val="000000" w:themeColor="text1"/>
          <w:sz w:val="20"/>
          <w:szCs w:val="16"/>
        </w:rPr>
        <w:t xml:space="preserve">, </w:t>
      </w:r>
      <w:r w:rsidRPr="00B31D29">
        <w:rPr>
          <w:color w:val="000000" w:themeColor="text1"/>
          <w:sz w:val="20"/>
          <w:szCs w:val="16"/>
        </w:rPr>
        <w:t xml:space="preserve">at 118–19. </w:t>
      </w:r>
    </w:p>
  </w:footnote>
  <w:footnote w:id="120">
    <w:p w14:paraId="147C3FBB" w14:textId="74682660"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11 C.F.R. § 110.11(c)(3)–(4).</w:t>
      </w:r>
    </w:p>
  </w:footnote>
  <w:footnote w:id="121">
    <w:p w14:paraId="68B11EF0" w14:textId="416A7860" w:rsidR="00CF426F" w:rsidRPr="00B31D29" w:rsidRDefault="00CF426F" w:rsidP="001040D8">
      <w:pPr>
        <w:pStyle w:val="FootNotePara"/>
        <w:ind w:firstLine="0"/>
        <w:rPr>
          <w:color w:val="000000" w:themeColor="text1"/>
          <w:sz w:val="20"/>
        </w:rPr>
      </w:pPr>
      <w:r w:rsidRPr="00B31D29">
        <w:rPr>
          <w:color w:val="000000" w:themeColor="text1"/>
          <w:sz w:val="20"/>
        </w:rPr>
        <w:tab/>
      </w:r>
      <w:r w:rsidRPr="00B31D29">
        <w:rPr>
          <w:rStyle w:val="FootnoteReference"/>
          <w:color w:val="000000" w:themeColor="text1"/>
          <w:sz w:val="20"/>
          <w:vertAlign w:val="baseline"/>
        </w:rPr>
        <w:footnoteRef/>
      </w:r>
      <w:r w:rsidRPr="00B31D29">
        <w:rPr>
          <w:color w:val="000000" w:themeColor="text1"/>
          <w:sz w:val="20"/>
        </w:rPr>
        <w:t>.</w:t>
      </w:r>
      <w:r w:rsidRPr="00B31D29">
        <w:rPr>
          <w:color w:val="000000" w:themeColor="text1"/>
          <w:sz w:val="20"/>
        </w:rPr>
        <w:tab/>
      </w:r>
      <w:r w:rsidRPr="00B31D29">
        <w:rPr>
          <w:color w:val="000000" w:themeColor="text1"/>
          <w:sz w:val="20"/>
        </w:rPr>
        <w:tab/>
      </w:r>
      <w:r w:rsidRPr="00B31D29">
        <w:rPr>
          <w:i/>
          <w:color w:val="000000" w:themeColor="text1"/>
          <w:sz w:val="20"/>
        </w:rPr>
        <w:t xml:space="preserve">See </w:t>
      </w:r>
      <w:r w:rsidRPr="00B31D29">
        <w:rPr>
          <w:smallCaps/>
          <w:color w:val="000000" w:themeColor="text1"/>
          <w:sz w:val="20"/>
          <w:szCs w:val="16"/>
        </w:rPr>
        <w:t>Fowler et al.</w:t>
      </w:r>
      <w:r w:rsidRPr="00B31D29">
        <w:rPr>
          <w:color w:val="000000" w:themeColor="text1"/>
          <w:sz w:val="20"/>
        </w:rPr>
        <w:t xml:space="preserve">, </w:t>
      </w:r>
      <w:r w:rsidRPr="00B31D29">
        <w:rPr>
          <w:i/>
          <w:color w:val="000000" w:themeColor="text1"/>
          <w:sz w:val="20"/>
        </w:rPr>
        <w:t>supra</w:t>
      </w:r>
      <w:r w:rsidRPr="00B31D29">
        <w:rPr>
          <w:color w:val="000000" w:themeColor="text1"/>
          <w:sz w:val="20"/>
        </w:rPr>
        <w:t xml:space="preserve"> note </w:t>
      </w:r>
      <w:r w:rsidRPr="00B31D29">
        <w:rPr>
          <w:color w:val="000000" w:themeColor="text1"/>
          <w:sz w:val="20"/>
        </w:rPr>
        <w:fldChar w:fldCharType="begin"/>
      </w:r>
      <w:r w:rsidRPr="00B31D29">
        <w:rPr>
          <w:color w:val="000000" w:themeColor="text1"/>
          <w:sz w:val="20"/>
        </w:rPr>
        <w:instrText xml:space="preserve"> NOTEREF _Ref492481629 \h  \* MERGEFORMAT </w:instrText>
      </w:r>
      <w:r w:rsidRPr="00B31D29">
        <w:rPr>
          <w:color w:val="000000" w:themeColor="text1"/>
          <w:sz w:val="20"/>
        </w:rPr>
      </w:r>
      <w:r w:rsidRPr="00B31D29">
        <w:rPr>
          <w:color w:val="000000" w:themeColor="text1"/>
          <w:sz w:val="20"/>
        </w:rPr>
        <w:fldChar w:fldCharType="separate"/>
      </w:r>
      <w:r w:rsidR="00203FC5" w:rsidRPr="00B31D29">
        <w:rPr>
          <w:color w:val="000000" w:themeColor="text1"/>
          <w:sz w:val="20"/>
        </w:rPr>
        <w:t>10</w:t>
      </w:r>
      <w:r w:rsidRPr="00B31D29">
        <w:rPr>
          <w:color w:val="000000" w:themeColor="text1"/>
          <w:sz w:val="20"/>
        </w:rPr>
        <w:fldChar w:fldCharType="end"/>
      </w:r>
      <w:r w:rsidRPr="00B31D29">
        <w:rPr>
          <w:color w:val="000000" w:themeColor="text1"/>
          <w:sz w:val="20"/>
        </w:rPr>
        <w:t>, at 26–27.</w:t>
      </w:r>
    </w:p>
  </w:footnote>
  <w:footnote w:id="122">
    <w:p w14:paraId="7DA5A253" w14:textId="7E708124"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30. </w:t>
      </w:r>
      <w:r w:rsidRPr="00B31D29">
        <w:rPr>
          <w:i/>
          <w:color w:val="000000" w:themeColor="text1"/>
          <w:sz w:val="20"/>
          <w:szCs w:val="16"/>
        </w:rPr>
        <w:t>See also</w:t>
      </w:r>
      <w:r w:rsidRPr="00B31D29">
        <w:rPr>
          <w:color w:val="000000" w:themeColor="text1"/>
          <w:sz w:val="20"/>
          <w:szCs w:val="16"/>
        </w:rPr>
        <w:t xml:space="preserve"> Libby Watson, </w:t>
      </w:r>
      <w:r w:rsidRPr="00B31D29">
        <w:rPr>
          <w:i/>
          <w:color w:val="000000" w:themeColor="text1"/>
          <w:sz w:val="20"/>
          <w:szCs w:val="16"/>
        </w:rPr>
        <w:t>FCC Votes to Expand Transparency for Political Ads</w:t>
      </w:r>
      <w:r w:rsidRPr="00B31D29">
        <w:rPr>
          <w:color w:val="000000" w:themeColor="text1"/>
          <w:sz w:val="20"/>
          <w:szCs w:val="16"/>
        </w:rPr>
        <w:t xml:space="preserve">, </w:t>
      </w:r>
      <w:r w:rsidRPr="00B31D29">
        <w:rPr>
          <w:smallCaps/>
          <w:color w:val="000000" w:themeColor="text1"/>
          <w:sz w:val="20"/>
          <w:szCs w:val="16"/>
        </w:rPr>
        <w:t>Sunlight Found.</w:t>
      </w:r>
      <w:r w:rsidRPr="00B31D29">
        <w:rPr>
          <w:color w:val="000000" w:themeColor="text1"/>
          <w:sz w:val="20"/>
          <w:szCs w:val="16"/>
        </w:rPr>
        <w:t xml:space="preserve"> (Jan. 28, 2016, 3:45 PM), https://sunlightfoundation.com/2016/01/28/fcc-votes-to-expand-transparency-for-political-ads (reporting that while the FCC had previously required stations to keep physical copies of political ad sales, in January 2016, the Commission mandated that the files must be posted online). </w:t>
      </w:r>
    </w:p>
  </w:footnote>
  <w:footnote w:id="123">
    <w:p w14:paraId="7DFB0E90" w14:textId="3DB0346D" w:rsidR="00CF426F" w:rsidRPr="00B31D29" w:rsidRDefault="00CF426F" w:rsidP="001040D8">
      <w:pPr>
        <w:pStyle w:val="FootNotePara"/>
        <w:ind w:firstLine="0"/>
        <w:rPr>
          <w:color w:val="000000" w:themeColor="text1"/>
          <w:sz w:val="20"/>
        </w:rPr>
      </w:pPr>
      <w:r w:rsidRPr="00B31D29">
        <w:rPr>
          <w:color w:val="000000" w:themeColor="text1"/>
          <w:sz w:val="20"/>
        </w:rPr>
        <w:tab/>
      </w:r>
      <w:r w:rsidRPr="00B31D29">
        <w:rPr>
          <w:rStyle w:val="FootnoteReference"/>
          <w:color w:val="000000" w:themeColor="text1"/>
          <w:sz w:val="20"/>
          <w:vertAlign w:val="baseline"/>
        </w:rPr>
        <w:footnoteRef/>
      </w:r>
      <w:r w:rsidRPr="00B31D29">
        <w:rPr>
          <w:color w:val="000000" w:themeColor="text1"/>
          <w:sz w:val="20"/>
        </w:rPr>
        <w:t>.</w:t>
      </w:r>
      <w:r w:rsidRPr="00B31D29">
        <w:rPr>
          <w:color w:val="000000" w:themeColor="text1"/>
          <w:sz w:val="20"/>
        </w:rPr>
        <w:tab/>
      </w:r>
      <w:r w:rsidRPr="00B31D29">
        <w:rPr>
          <w:smallCaps/>
          <w:color w:val="000000" w:themeColor="text1"/>
          <w:sz w:val="20"/>
          <w:szCs w:val="16"/>
        </w:rPr>
        <w:t>Fowler et al</w:t>
      </w:r>
      <w:r w:rsidRPr="00B31D29">
        <w:rPr>
          <w:color w:val="000000" w:themeColor="text1"/>
          <w:sz w:val="20"/>
        </w:rPr>
        <w:t xml:space="preserve">, </w:t>
      </w:r>
      <w:r w:rsidRPr="00B31D29">
        <w:rPr>
          <w:i/>
          <w:color w:val="000000" w:themeColor="text1"/>
          <w:sz w:val="20"/>
        </w:rPr>
        <w:t>supra</w:t>
      </w:r>
      <w:r w:rsidRPr="00B31D29">
        <w:rPr>
          <w:color w:val="000000" w:themeColor="text1"/>
          <w:sz w:val="20"/>
        </w:rPr>
        <w:t xml:space="preserve"> note </w:t>
      </w:r>
      <w:r w:rsidRPr="00B31D29">
        <w:rPr>
          <w:color w:val="000000" w:themeColor="text1"/>
          <w:sz w:val="20"/>
        </w:rPr>
        <w:fldChar w:fldCharType="begin"/>
      </w:r>
      <w:r w:rsidRPr="00B31D29">
        <w:rPr>
          <w:color w:val="000000" w:themeColor="text1"/>
          <w:sz w:val="20"/>
        </w:rPr>
        <w:instrText xml:space="preserve"> NOTEREF _Ref492481629 \h  \* MERGEFORMAT </w:instrText>
      </w:r>
      <w:r w:rsidRPr="00B31D29">
        <w:rPr>
          <w:color w:val="000000" w:themeColor="text1"/>
          <w:sz w:val="20"/>
        </w:rPr>
      </w:r>
      <w:r w:rsidRPr="00B31D29">
        <w:rPr>
          <w:color w:val="000000" w:themeColor="text1"/>
          <w:sz w:val="20"/>
        </w:rPr>
        <w:fldChar w:fldCharType="separate"/>
      </w:r>
      <w:r w:rsidR="00203FC5" w:rsidRPr="00B31D29">
        <w:rPr>
          <w:color w:val="000000" w:themeColor="text1"/>
          <w:sz w:val="20"/>
        </w:rPr>
        <w:t>10</w:t>
      </w:r>
      <w:r w:rsidRPr="00B31D29">
        <w:rPr>
          <w:color w:val="000000" w:themeColor="text1"/>
          <w:sz w:val="20"/>
        </w:rPr>
        <w:fldChar w:fldCharType="end"/>
      </w:r>
      <w:r w:rsidRPr="00B31D29">
        <w:rPr>
          <w:color w:val="000000" w:themeColor="text1"/>
          <w:sz w:val="20"/>
        </w:rPr>
        <w:t>, at 118.</w:t>
      </w:r>
    </w:p>
  </w:footnote>
  <w:footnote w:id="124">
    <w:p w14:paraId="7639785B" w14:textId="164B6C8E" w:rsidR="00CF426F" w:rsidRPr="00B31D29" w:rsidRDefault="00CF426F" w:rsidP="0013140E">
      <w:pPr>
        <w:pStyle w:val="FootNotePara"/>
        <w:ind w:firstLine="0"/>
        <w:rPr>
          <w:color w:val="000000" w:themeColor="text1"/>
          <w:sz w:val="20"/>
        </w:rPr>
      </w:pPr>
      <w:r w:rsidRPr="00B31D29">
        <w:rPr>
          <w:color w:val="000000" w:themeColor="text1"/>
          <w:sz w:val="20"/>
        </w:rPr>
        <w:tab/>
      </w:r>
      <w:r w:rsidRPr="00B31D29">
        <w:rPr>
          <w:rStyle w:val="FootnoteReference"/>
          <w:color w:val="000000" w:themeColor="text1"/>
          <w:sz w:val="20"/>
          <w:vertAlign w:val="baseline"/>
        </w:rPr>
        <w:footnoteRef/>
      </w:r>
      <w:r w:rsidRPr="00B31D29">
        <w:rPr>
          <w:color w:val="000000" w:themeColor="text1"/>
          <w:sz w:val="20"/>
        </w:rPr>
        <w:t>.</w:t>
      </w:r>
      <w:r w:rsidRPr="00B31D29">
        <w:rPr>
          <w:color w:val="000000" w:themeColor="text1"/>
          <w:sz w:val="20"/>
        </w:rPr>
        <w:tab/>
      </w:r>
      <w:r w:rsidRPr="00B31D29">
        <w:rPr>
          <w:color w:val="000000" w:themeColor="text1"/>
          <w:sz w:val="20"/>
          <w:szCs w:val="16"/>
        </w:rPr>
        <w:t>11 C.F.R. §</w:t>
      </w:r>
      <w:r w:rsidRPr="00B31D29">
        <w:rPr>
          <w:color w:val="000000" w:themeColor="text1"/>
          <w:sz w:val="20"/>
          <w:szCs w:val="16"/>
        </w:rPr>
        <w:tab/>
        <w:t> 100.26.</w:t>
      </w:r>
    </w:p>
  </w:footnote>
  <w:footnote w:id="125">
    <w:p w14:paraId="56514F99" w14:textId="0052723C"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w:t>
      </w:r>
    </w:p>
  </w:footnote>
  <w:footnote w:id="126">
    <w:p w14:paraId="08678DC2" w14:textId="182F7756"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smallCaps/>
          <w:color w:val="000000" w:themeColor="text1"/>
          <w:sz w:val="20"/>
          <w:szCs w:val="16"/>
        </w:rPr>
        <w:t>Fowler et al.</w:t>
      </w:r>
      <w:r w:rsidRPr="00B31D29">
        <w:rPr>
          <w:color w:val="000000" w:themeColor="text1"/>
          <w:sz w:val="20"/>
          <w:szCs w:val="16"/>
        </w:rPr>
        <w:t xml:space="preserve">,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_Ref492481629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10</w:t>
      </w:r>
      <w:r w:rsidRPr="00B31D29">
        <w:rPr>
          <w:color w:val="000000" w:themeColor="text1"/>
          <w:sz w:val="20"/>
          <w:szCs w:val="16"/>
        </w:rPr>
        <w:fldChar w:fldCharType="end"/>
      </w:r>
      <w:r w:rsidRPr="00B31D29">
        <w:rPr>
          <w:color w:val="000000" w:themeColor="text1"/>
          <w:sz w:val="20"/>
          <w:szCs w:val="16"/>
        </w:rPr>
        <w:t xml:space="preserve">, at 118–19. </w:t>
      </w:r>
    </w:p>
  </w:footnote>
  <w:footnote w:id="127">
    <w:p w14:paraId="07B5F18B" w14:textId="099B5CCD"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 xml:space="preserve">Lee E. Goodman, Commentary, </w:t>
      </w:r>
      <w:r w:rsidRPr="00B31D29">
        <w:rPr>
          <w:i/>
          <w:color w:val="000000" w:themeColor="text1"/>
          <w:sz w:val="20"/>
          <w:szCs w:val="16"/>
        </w:rPr>
        <w:t>Online Political Opinions Don’t Need Regulating</w:t>
      </w:r>
      <w:r w:rsidRPr="00B31D29">
        <w:rPr>
          <w:color w:val="000000" w:themeColor="text1"/>
          <w:sz w:val="20"/>
          <w:szCs w:val="16"/>
        </w:rPr>
        <w:t xml:space="preserve">, </w:t>
      </w:r>
      <w:r w:rsidRPr="00B31D29">
        <w:rPr>
          <w:smallCaps/>
          <w:color w:val="000000" w:themeColor="text1"/>
          <w:sz w:val="20"/>
          <w:szCs w:val="16"/>
        </w:rPr>
        <w:t>Wall St. J</w:t>
      </w:r>
      <w:r w:rsidRPr="00B31D29">
        <w:rPr>
          <w:color w:val="000000" w:themeColor="text1"/>
          <w:sz w:val="20"/>
          <w:szCs w:val="16"/>
        </w:rPr>
        <w:t xml:space="preserve">. (Jan. 1, 2015, 6:37 PM), http://www.wsj.com/articles/lee-e-goodman-online-political-opinions-dont-need-regulating-1420155421. </w:t>
      </w:r>
    </w:p>
  </w:footnote>
  <w:footnote w:id="128">
    <w:p w14:paraId="6A001F76" w14:textId="2843CF1C"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w:t>
      </w:r>
    </w:p>
  </w:footnote>
  <w:footnote w:id="129">
    <w:p w14:paraId="21C3D407" w14:textId="125FB292"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 xml:space="preserve">11 C.F.R. § 110.11(f)(i). </w:t>
      </w:r>
    </w:p>
  </w:footnote>
  <w:footnote w:id="130">
    <w:p w14:paraId="70A9C211" w14:textId="7C52536B"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w:t>
      </w:r>
    </w:p>
  </w:footnote>
  <w:footnote w:id="131">
    <w:p w14:paraId="3B8708DA" w14:textId="7D571B8A"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 110.11(f)(ii).</w:t>
      </w:r>
    </w:p>
  </w:footnote>
  <w:footnote w:id="132">
    <w:p w14:paraId="466B64A4" w14:textId="11C87E16"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p>
  </w:footnote>
  <w:footnote w:id="133">
    <w:p w14:paraId="2100D26E" w14:textId="7AC4F5CC"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See </w:t>
      </w:r>
      <w:r w:rsidRPr="00B31D29">
        <w:rPr>
          <w:bCs/>
          <w:color w:val="000000" w:themeColor="text1"/>
          <w:sz w:val="20"/>
          <w:szCs w:val="16"/>
        </w:rPr>
        <w:t xml:space="preserve">Cynthia L. Bauerly, </w:t>
      </w:r>
      <w:r w:rsidRPr="00B31D29">
        <w:rPr>
          <w:bCs/>
          <w:i/>
          <w:color w:val="000000" w:themeColor="text1"/>
          <w:sz w:val="20"/>
          <w:szCs w:val="16"/>
        </w:rPr>
        <w:t>The Revolution Will be Tweeted and Tmbl’d and Txtd: New Technology and the Challenge for Campaign-Finance Regulation</w:t>
      </w:r>
      <w:r w:rsidRPr="00B31D29">
        <w:rPr>
          <w:bCs/>
          <w:color w:val="000000" w:themeColor="text1"/>
          <w:sz w:val="20"/>
          <w:szCs w:val="16"/>
        </w:rPr>
        <w:t xml:space="preserve">, 44 </w:t>
      </w:r>
      <w:r w:rsidRPr="00B31D29">
        <w:rPr>
          <w:bCs/>
          <w:smallCaps/>
          <w:color w:val="000000" w:themeColor="text1"/>
          <w:sz w:val="20"/>
          <w:szCs w:val="16"/>
        </w:rPr>
        <w:t xml:space="preserve">U. Tol. L. Rev. </w:t>
      </w:r>
      <w:r w:rsidRPr="00B31D29">
        <w:rPr>
          <w:bCs/>
          <w:color w:val="000000" w:themeColor="text1"/>
          <w:sz w:val="20"/>
          <w:szCs w:val="16"/>
        </w:rPr>
        <w:t>525, 532</w:t>
      </w:r>
      <w:r w:rsidRPr="00B31D29">
        <w:rPr>
          <w:color w:val="000000" w:themeColor="text1"/>
          <w:sz w:val="20"/>
          <w:szCs w:val="16"/>
        </w:rPr>
        <w:t>–34</w:t>
      </w:r>
      <w:r w:rsidRPr="00B31D29">
        <w:rPr>
          <w:bCs/>
          <w:color w:val="000000" w:themeColor="text1"/>
          <w:sz w:val="20"/>
          <w:szCs w:val="16"/>
        </w:rPr>
        <w:t xml:space="preserve"> (2013) (arguing that the FEC should issue a rule to address the small-items and impracticable exceptions).</w:t>
      </w:r>
    </w:p>
  </w:footnote>
  <w:footnote w:id="134">
    <w:p w14:paraId="09BEE3BE" w14:textId="11B1C34C" w:rsidR="00CF426F" w:rsidRPr="00B31D29" w:rsidRDefault="00CF426F" w:rsidP="004C5AD8">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See </w:t>
      </w:r>
      <w:r w:rsidRPr="00B31D29">
        <w:rPr>
          <w:color w:val="000000" w:themeColor="text1"/>
          <w:sz w:val="20"/>
          <w:szCs w:val="16"/>
        </w:rPr>
        <w:t xml:space="preserve">Letter from Marc E. Elias &amp; Jonathan S. Berkon, Counsel to Google, to Thomasenia Duncan, Gen. Counsel, FEC 1 (Aug. 5, 2010), http://saos.fec.gov/aodocs/1147698.pdf. </w:t>
      </w:r>
    </w:p>
  </w:footnote>
  <w:footnote w:id="135">
    <w:p w14:paraId="7C7D4E10" w14:textId="6B9DF31A"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Id. </w:t>
      </w:r>
      <w:r w:rsidRPr="00B31D29">
        <w:rPr>
          <w:color w:val="000000" w:themeColor="text1"/>
          <w:sz w:val="20"/>
          <w:szCs w:val="16"/>
        </w:rPr>
        <w:t xml:space="preserve">at 2. </w:t>
      </w:r>
    </w:p>
  </w:footnote>
  <w:footnote w:id="136">
    <w:p w14:paraId="6E28B8B7" w14:textId="25842B00"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4–6, 8.</w:t>
      </w:r>
    </w:p>
  </w:footnote>
  <w:footnote w:id="137">
    <w:p w14:paraId="2B433CE4" w14:textId="5A7270E5"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7–9.</w:t>
      </w:r>
    </w:p>
  </w:footnote>
  <w:footnote w:id="138">
    <w:p w14:paraId="4D83CCC5" w14:textId="211506FA"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FEC Advisory Op. 2010-19, at 2 (Oct. 8, 2010), http://saos.fec.gov/aodocs/AO%202010-19.pdf.</w:t>
      </w:r>
    </w:p>
  </w:footnote>
  <w:footnote w:id="139">
    <w:p w14:paraId="2A369C66" w14:textId="257FC2A1" w:rsidR="00CF426F" w:rsidRPr="00B31D29" w:rsidRDefault="00CF426F" w:rsidP="00637AD3">
      <w:pPr>
        <w:pStyle w:val="FootNote"/>
        <w:widowControl w:val="0"/>
        <w:rPr>
          <w:bCs/>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 xml:space="preserve">Concurring Statement of Vice Chair Cynthia L. Bauerly, Comm’r Steven T. Walther </w:t>
      </w:r>
      <w:r w:rsidR="006479DC" w:rsidRPr="00B31D29">
        <w:rPr>
          <w:color w:val="000000" w:themeColor="text1"/>
          <w:sz w:val="20"/>
          <w:szCs w:val="16"/>
        </w:rPr>
        <w:t xml:space="preserve">&amp; </w:t>
      </w:r>
      <w:r w:rsidRPr="00B31D29">
        <w:rPr>
          <w:color w:val="000000" w:themeColor="text1"/>
          <w:sz w:val="20"/>
          <w:szCs w:val="16"/>
        </w:rPr>
        <w:t>Comm’r Ellen L. Weintraub, FEC Advisory Opinion 2010-19, at 3 (Dec. 16, 2010), http://saos.fec.gov/aodocs/1158390.pdf [hereinafter Concurring Statement].</w:t>
      </w:r>
    </w:p>
  </w:footnote>
  <w:footnote w:id="140">
    <w:p w14:paraId="0C1AB81E" w14:textId="7001D370"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2. </w:t>
      </w:r>
      <w:r w:rsidRPr="00B31D29">
        <w:rPr>
          <w:i/>
          <w:color w:val="000000" w:themeColor="text1"/>
          <w:sz w:val="20"/>
          <w:szCs w:val="16"/>
        </w:rPr>
        <w:t>See also</w:t>
      </w:r>
      <w:r w:rsidRPr="00B31D29">
        <w:rPr>
          <w:color w:val="000000" w:themeColor="text1"/>
          <w:sz w:val="20"/>
          <w:szCs w:val="16"/>
        </w:rPr>
        <w:t xml:space="preserve"> </w:t>
      </w:r>
      <w:r w:rsidRPr="00B31D29">
        <w:rPr>
          <w:bCs/>
          <w:color w:val="000000" w:themeColor="text1"/>
          <w:sz w:val="20"/>
          <w:szCs w:val="16"/>
        </w:rPr>
        <w:t xml:space="preserve">Bauerly, </w:t>
      </w:r>
      <w:r w:rsidRPr="00B31D29">
        <w:rPr>
          <w:bCs/>
          <w:i/>
          <w:color w:val="000000" w:themeColor="text1"/>
          <w:sz w:val="20"/>
          <w:szCs w:val="16"/>
        </w:rPr>
        <w:t xml:space="preserve">supra </w:t>
      </w:r>
      <w:r w:rsidRPr="00B31D29">
        <w:rPr>
          <w:bCs/>
          <w:color w:val="000000" w:themeColor="text1"/>
          <w:sz w:val="20"/>
          <w:szCs w:val="16"/>
        </w:rPr>
        <w:t xml:space="preserve">note </w:t>
      </w:r>
      <w:r w:rsidRPr="00B31D29">
        <w:rPr>
          <w:bCs/>
          <w:color w:val="000000" w:themeColor="text1"/>
          <w:sz w:val="20"/>
          <w:szCs w:val="16"/>
        </w:rPr>
        <w:fldChar w:fldCharType="begin"/>
      </w:r>
      <w:r w:rsidRPr="00B31D29">
        <w:rPr>
          <w:bCs/>
          <w:color w:val="000000" w:themeColor="text1"/>
          <w:sz w:val="20"/>
          <w:szCs w:val="16"/>
        </w:rPr>
        <w:instrText xml:space="preserve"> NOTEREF _Ref496705330 \h </w:instrText>
      </w:r>
      <w:r w:rsidRPr="00B31D29">
        <w:rPr>
          <w:bCs/>
          <w:color w:val="000000" w:themeColor="text1"/>
          <w:sz w:val="20"/>
          <w:szCs w:val="16"/>
        </w:rPr>
      </w:r>
      <w:r w:rsidR="00B31D29" w:rsidRPr="00B31D29">
        <w:rPr>
          <w:bCs/>
          <w:color w:val="000000" w:themeColor="text1"/>
          <w:sz w:val="20"/>
          <w:szCs w:val="16"/>
        </w:rPr>
        <w:instrText xml:space="preserve"> \* MERGEFORMAT </w:instrText>
      </w:r>
      <w:r w:rsidRPr="00B31D29">
        <w:rPr>
          <w:bCs/>
          <w:color w:val="000000" w:themeColor="text1"/>
          <w:sz w:val="20"/>
          <w:szCs w:val="16"/>
        </w:rPr>
        <w:fldChar w:fldCharType="separate"/>
      </w:r>
      <w:r w:rsidR="00203FC5" w:rsidRPr="00B31D29">
        <w:rPr>
          <w:bCs/>
          <w:color w:val="000000" w:themeColor="text1"/>
          <w:sz w:val="20"/>
          <w:szCs w:val="16"/>
        </w:rPr>
        <w:t>132</w:t>
      </w:r>
      <w:r w:rsidRPr="00B31D29">
        <w:rPr>
          <w:bCs/>
          <w:color w:val="000000" w:themeColor="text1"/>
          <w:sz w:val="20"/>
          <w:szCs w:val="16"/>
        </w:rPr>
        <w:fldChar w:fldCharType="end"/>
      </w:r>
      <w:r w:rsidRPr="00B31D29">
        <w:rPr>
          <w:bCs/>
          <w:color w:val="000000" w:themeColor="text1"/>
          <w:sz w:val="20"/>
          <w:szCs w:val="16"/>
        </w:rPr>
        <w:t>, at 533</w:t>
      </w:r>
      <w:r w:rsidRPr="00B31D29">
        <w:rPr>
          <w:color w:val="000000" w:themeColor="text1"/>
          <w:sz w:val="20"/>
          <w:szCs w:val="16"/>
        </w:rPr>
        <w:t>–34</w:t>
      </w:r>
      <w:r w:rsidRPr="00B31D29">
        <w:rPr>
          <w:bCs/>
          <w:color w:val="000000" w:themeColor="text1"/>
          <w:sz w:val="20"/>
          <w:szCs w:val="16"/>
        </w:rPr>
        <w:t xml:space="preserve"> (reflecting on her vote in Google’s request for an advisory opinion).</w:t>
      </w:r>
    </w:p>
  </w:footnote>
  <w:footnote w:id="141">
    <w:p w14:paraId="7816202D" w14:textId="178EE60E"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See </w:t>
      </w:r>
      <w:r w:rsidRPr="00B31D29">
        <w:rPr>
          <w:color w:val="000000" w:themeColor="text1"/>
          <w:sz w:val="20"/>
          <w:szCs w:val="16"/>
        </w:rPr>
        <w:t>Letter from Marc E. Elias et al., Counsel to Facebook, to Christopher Hughey, Acting Gen. Counsel, FEC 1 (Apr. 26, 2011), https://www.fec.gov/files/legal/aos/2011-09/1174825.pdf.</w:t>
      </w:r>
    </w:p>
  </w:footnote>
  <w:footnote w:id="142">
    <w:p w14:paraId="1C86BC5D" w14:textId="2DB49AFB" w:rsidR="00CF426F" w:rsidRPr="00B31D29" w:rsidRDefault="00CF426F" w:rsidP="00E11B37">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Id. </w:t>
      </w:r>
      <w:r w:rsidRPr="00B31D29">
        <w:rPr>
          <w:color w:val="000000" w:themeColor="text1"/>
          <w:sz w:val="20"/>
          <w:szCs w:val="16"/>
        </w:rPr>
        <w:t>at 6–7.</w:t>
      </w:r>
    </w:p>
  </w:footnote>
  <w:footnote w:id="143">
    <w:p w14:paraId="553907B7" w14:textId="601C61FA" w:rsidR="00CF426F" w:rsidRPr="00B31D29" w:rsidRDefault="00CF426F" w:rsidP="00925C9E">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See id.</w:t>
      </w:r>
    </w:p>
  </w:footnote>
  <w:footnote w:id="144">
    <w:p w14:paraId="03DD50EB" w14:textId="11196E8B"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See </w:t>
      </w:r>
      <w:r w:rsidRPr="00B31D29">
        <w:rPr>
          <w:color w:val="000000" w:themeColor="text1"/>
          <w:sz w:val="20"/>
          <w:szCs w:val="16"/>
        </w:rPr>
        <w:t xml:space="preserve">Letter from Rosemary Smith, Assoc. Gen. Counsel, FEC, to Marc E. Elias et al., Perkins Coie LLP 1 (June 15, 2011), https://www.fec.gov/files/legal/aos/2011-09/AO-2011-09.pdf. </w:t>
      </w:r>
      <w:r w:rsidRPr="00B31D29">
        <w:rPr>
          <w:i/>
          <w:color w:val="000000" w:themeColor="text1"/>
          <w:sz w:val="20"/>
          <w:szCs w:val="16"/>
        </w:rPr>
        <w:t>See</w:t>
      </w:r>
      <w:r w:rsidRPr="00B31D29">
        <w:rPr>
          <w:color w:val="000000" w:themeColor="text1"/>
          <w:sz w:val="20"/>
          <w:szCs w:val="16"/>
        </w:rPr>
        <w:t xml:space="preserve"> </w:t>
      </w:r>
      <w:r w:rsidRPr="00B31D29">
        <w:rPr>
          <w:i/>
          <w:color w:val="000000" w:themeColor="text1"/>
          <w:sz w:val="20"/>
          <w:szCs w:val="16"/>
        </w:rPr>
        <w:t>also</w:t>
      </w:r>
      <w:r w:rsidRPr="00B31D29">
        <w:rPr>
          <w:color w:val="000000" w:themeColor="text1"/>
          <w:sz w:val="20"/>
          <w:szCs w:val="16"/>
        </w:rPr>
        <w:t xml:space="preserve"> </w:t>
      </w:r>
      <w:r w:rsidRPr="00B31D29">
        <w:rPr>
          <w:bCs/>
          <w:color w:val="000000" w:themeColor="text1"/>
          <w:sz w:val="20"/>
          <w:szCs w:val="16"/>
        </w:rPr>
        <w:t xml:space="preserve">Bauerly, </w:t>
      </w:r>
      <w:r w:rsidRPr="00B31D29">
        <w:rPr>
          <w:bCs/>
          <w:i/>
          <w:color w:val="000000" w:themeColor="text1"/>
          <w:sz w:val="20"/>
          <w:szCs w:val="16"/>
        </w:rPr>
        <w:t xml:space="preserve">supra </w:t>
      </w:r>
      <w:r w:rsidRPr="00B31D29">
        <w:rPr>
          <w:bCs/>
          <w:color w:val="000000" w:themeColor="text1"/>
          <w:sz w:val="20"/>
          <w:szCs w:val="16"/>
        </w:rPr>
        <w:t xml:space="preserve">note </w:t>
      </w:r>
      <w:r w:rsidRPr="00B31D29">
        <w:rPr>
          <w:bCs/>
          <w:color w:val="000000" w:themeColor="text1"/>
          <w:sz w:val="20"/>
          <w:szCs w:val="16"/>
        </w:rPr>
        <w:fldChar w:fldCharType="begin"/>
      </w:r>
      <w:r w:rsidRPr="00B31D29">
        <w:rPr>
          <w:bCs/>
          <w:color w:val="000000" w:themeColor="text1"/>
          <w:sz w:val="20"/>
          <w:szCs w:val="16"/>
        </w:rPr>
        <w:instrText xml:space="preserve"> NOTEREF _Ref496705330 \h </w:instrText>
      </w:r>
      <w:r w:rsidRPr="00B31D29">
        <w:rPr>
          <w:bCs/>
          <w:color w:val="000000" w:themeColor="text1"/>
          <w:sz w:val="20"/>
          <w:szCs w:val="16"/>
        </w:rPr>
      </w:r>
      <w:r w:rsidR="00B31D29" w:rsidRPr="00B31D29">
        <w:rPr>
          <w:bCs/>
          <w:color w:val="000000" w:themeColor="text1"/>
          <w:sz w:val="20"/>
          <w:szCs w:val="16"/>
        </w:rPr>
        <w:instrText xml:space="preserve"> \* MERGEFORMAT </w:instrText>
      </w:r>
      <w:r w:rsidRPr="00B31D29">
        <w:rPr>
          <w:bCs/>
          <w:color w:val="000000" w:themeColor="text1"/>
          <w:sz w:val="20"/>
          <w:szCs w:val="16"/>
        </w:rPr>
        <w:fldChar w:fldCharType="separate"/>
      </w:r>
      <w:r w:rsidR="00203FC5" w:rsidRPr="00B31D29">
        <w:rPr>
          <w:bCs/>
          <w:color w:val="000000" w:themeColor="text1"/>
          <w:sz w:val="20"/>
          <w:szCs w:val="16"/>
        </w:rPr>
        <w:t>132</w:t>
      </w:r>
      <w:r w:rsidRPr="00B31D29">
        <w:rPr>
          <w:bCs/>
          <w:color w:val="000000" w:themeColor="text1"/>
          <w:sz w:val="20"/>
          <w:szCs w:val="16"/>
        </w:rPr>
        <w:fldChar w:fldCharType="end"/>
      </w:r>
      <w:r w:rsidRPr="00B31D29">
        <w:rPr>
          <w:bCs/>
          <w:color w:val="000000" w:themeColor="text1"/>
          <w:sz w:val="20"/>
          <w:szCs w:val="16"/>
        </w:rPr>
        <w:t xml:space="preserve">, at 533. </w:t>
      </w:r>
    </w:p>
  </w:footnote>
  <w:footnote w:id="145">
    <w:p w14:paraId="5C75F081" w14:textId="03218124" w:rsidR="00CF426F" w:rsidRPr="00B31D29" w:rsidRDefault="00CF426F" w:rsidP="00637AD3">
      <w:pPr>
        <w:pStyle w:val="FootNote"/>
        <w:widowControl w:val="0"/>
        <w:rPr>
          <w:color w:val="000000" w:themeColor="text1"/>
          <w:sz w:val="20"/>
          <w:szCs w:val="16"/>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Draft C, Advisory Opinion 2011-09, at 6 (June 15, 2011), https://www.fec.gov/files/legal/</w:t>
      </w:r>
      <w:r w:rsidRPr="00B31D29">
        <w:rPr>
          <w:color w:val="000000" w:themeColor="text1"/>
          <w:sz w:val="20"/>
          <w:szCs w:val="16"/>
        </w:rPr>
        <w:br/>
        <w:t xml:space="preserve">aos/2011-09/1176195.pdf. For the vote tally, see Certification, </w:t>
      </w:r>
      <w:r w:rsidRPr="00B31D29">
        <w:rPr>
          <w:i/>
          <w:color w:val="000000" w:themeColor="text1"/>
          <w:sz w:val="20"/>
          <w:szCs w:val="16"/>
        </w:rPr>
        <w:t xml:space="preserve">In re </w:t>
      </w:r>
      <w:r w:rsidRPr="00B31D29">
        <w:rPr>
          <w:color w:val="000000" w:themeColor="text1"/>
          <w:sz w:val="20"/>
          <w:szCs w:val="16"/>
        </w:rPr>
        <w:t>Facebook, FEC AO 2011-09 (June 17, 2011), https://www.fec.gov/files/legal/aos/2011-09/1176290.pdf.</w:t>
      </w:r>
    </w:p>
  </w:footnote>
  <w:footnote w:id="146">
    <w:p w14:paraId="33987A5A" w14:textId="17B291E8"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 xml:space="preserve">Letter from Marc E. Elias, </w:t>
      </w:r>
      <w:r w:rsidRPr="00B31D29">
        <w:rPr>
          <w:i/>
          <w:color w:val="000000" w:themeColor="text1"/>
          <w:sz w:val="20"/>
          <w:szCs w:val="16"/>
        </w:rPr>
        <w:t xml:space="preserve">supra </w:t>
      </w:r>
      <w:r w:rsidRPr="00B31D29">
        <w:rPr>
          <w:color w:val="000000" w:themeColor="text1"/>
          <w:sz w:val="20"/>
          <w:szCs w:val="16"/>
        </w:rPr>
        <w:t xml:space="preserve">note </w:t>
      </w:r>
      <w:r w:rsidRPr="00B31D29">
        <w:rPr>
          <w:color w:val="000000" w:themeColor="text1"/>
          <w:sz w:val="20"/>
          <w:szCs w:val="16"/>
        </w:rPr>
        <w:fldChar w:fldCharType="begin"/>
      </w:r>
      <w:r w:rsidRPr="00B31D29">
        <w:rPr>
          <w:color w:val="000000" w:themeColor="text1"/>
          <w:sz w:val="20"/>
          <w:szCs w:val="16"/>
        </w:rPr>
        <w:instrText xml:space="preserve"> NOTEREF _Ref374102721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140</w:t>
      </w:r>
      <w:r w:rsidRPr="00B31D29">
        <w:rPr>
          <w:color w:val="000000" w:themeColor="text1"/>
          <w:sz w:val="20"/>
          <w:szCs w:val="16"/>
        </w:rPr>
        <w:fldChar w:fldCharType="end"/>
      </w:r>
      <w:r w:rsidRPr="00B31D29">
        <w:rPr>
          <w:color w:val="000000" w:themeColor="text1"/>
          <w:sz w:val="20"/>
          <w:szCs w:val="16"/>
        </w:rPr>
        <w:t>, at 7.</w:t>
      </w:r>
    </w:p>
  </w:footnote>
  <w:footnote w:id="147">
    <w:p w14:paraId="7B9AA157" w14:textId="389428BB" w:rsidR="00CF426F" w:rsidRPr="00B31D29" w:rsidRDefault="00CF426F" w:rsidP="00637AD3">
      <w:pPr>
        <w:pStyle w:val="FootNote"/>
        <w:widowControl w:val="0"/>
        <w:rPr>
          <w:i/>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Draft C,</w:t>
      </w:r>
      <w:r w:rsidRPr="00B31D29">
        <w:rPr>
          <w:i/>
          <w:color w:val="000000" w:themeColor="text1"/>
          <w:sz w:val="20"/>
          <w:szCs w:val="16"/>
        </w:rPr>
        <w:t xml:space="preserve"> </w:t>
      </w:r>
      <w:r w:rsidRPr="00B31D29">
        <w:rPr>
          <w:color w:val="000000" w:themeColor="text1"/>
          <w:sz w:val="20"/>
          <w:szCs w:val="16"/>
        </w:rPr>
        <w:t xml:space="preserve">Advisory Opinion 2011-09, </w:t>
      </w:r>
      <w:r w:rsidRPr="00B31D29">
        <w:rPr>
          <w:i/>
          <w:color w:val="000000" w:themeColor="text1"/>
          <w:sz w:val="20"/>
          <w:szCs w:val="16"/>
        </w:rPr>
        <w:t xml:space="preserve">supra </w:t>
      </w:r>
      <w:r w:rsidRPr="00B31D29">
        <w:rPr>
          <w:color w:val="000000" w:themeColor="text1"/>
          <w:sz w:val="20"/>
          <w:szCs w:val="16"/>
        </w:rPr>
        <w:t xml:space="preserve">note </w:t>
      </w:r>
      <w:r w:rsidRPr="00B31D29">
        <w:rPr>
          <w:color w:val="000000" w:themeColor="text1"/>
          <w:sz w:val="20"/>
          <w:szCs w:val="16"/>
        </w:rPr>
        <w:fldChar w:fldCharType="begin"/>
      </w:r>
      <w:r w:rsidRPr="00B31D29">
        <w:rPr>
          <w:color w:val="000000" w:themeColor="text1"/>
          <w:sz w:val="20"/>
          <w:szCs w:val="16"/>
        </w:rPr>
        <w:instrText xml:space="preserve"> NOTEREF _Ref374102734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144</w:t>
      </w:r>
      <w:r w:rsidRPr="00B31D29">
        <w:rPr>
          <w:color w:val="000000" w:themeColor="text1"/>
          <w:sz w:val="20"/>
          <w:szCs w:val="16"/>
        </w:rPr>
        <w:fldChar w:fldCharType="end"/>
      </w:r>
      <w:r w:rsidRPr="00B31D29">
        <w:rPr>
          <w:color w:val="000000" w:themeColor="text1"/>
          <w:sz w:val="20"/>
          <w:szCs w:val="16"/>
        </w:rPr>
        <w:t xml:space="preserve">, at 7–8. </w:t>
      </w:r>
    </w:p>
  </w:footnote>
  <w:footnote w:id="148">
    <w:p w14:paraId="762C6DDB" w14:textId="253C873C"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Id. </w:t>
      </w:r>
      <w:r w:rsidRPr="00B31D29">
        <w:rPr>
          <w:color w:val="000000" w:themeColor="text1"/>
          <w:sz w:val="20"/>
          <w:szCs w:val="16"/>
        </w:rPr>
        <w:t xml:space="preserve">at 9. It is important to recognize that advisory opinions are incredibly fact specific and therefore not necessarily predictive of future outcomes. For instance, in December 2017, the FEC Commissioners agreed that “under the circumstances described in [its] request” the non-profit Take Back Action Fund must include all of the required disclaimer information on its Facebook video and image ads. But the Commissioners relied on different reasoning to reach this conclusion and the decision did not result in an advisory opinion, leaving the issue unsettled. </w:t>
      </w:r>
      <w:r w:rsidRPr="00B31D29">
        <w:rPr>
          <w:i/>
          <w:color w:val="000000" w:themeColor="text1"/>
          <w:sz w:val="20"/>
          <w:szCs w:val="16"/>
        </w:rPr>
        <w:t>See</w:t>
      </w:r>
      <w:r w:rsidRPr="00B31D29">
        <w:rPr>
          <w:color w:val="000000" w:themeColor="text1"/>
          <w:sz w:val="20"/>
          <w:szCs w:val="16"/>
        </w:rPr>
        <w:t xml:space="preserve"> Christopher Berg, </w:t>
      </w:r>
      <w:r w:rsidRPr="00B31D29">
        <w:rPr>
          <w:i/>
          <w:color w:val="000000" w:themeColor="text1"/>
          <w:sz w:val="20"/>
          <w:szCs w:val="16"/>
        </w:rPr>
        <w:t>AO 2017-12: Nonprofit Must Include Disclaimers on Its Facebook Ads</w:t>
      </w:r>
      <w:r w:rsidRPr="00B31D29">
        <w:rPr>
          <w:smallCaps/>
          <w:color w:val="000000" w:themeColor="text1"/>
          <w:sz w:val="20"/>
          <w:szCs w:val="16"/>
        </w:rPr>
        <w:t>, Fed. Election Commission</w:t>
      </w:r>
      <w:r w:rsidRPr="00B31D29">
        <w:rPr>
          <w:color w:val="000000" w:themeColor="text1"/>
          <w:sz w:val="20"/>
          <w:szCs w:val="16"/>
        </w:rPr>
        <w:t xml:space="preserve"> (Dec. 18, 2017), </w:t>
      </w:r>
      <w:r w:rsidRPr="00B31D29">
        <w:rPr>
          <w:color w:val="000000" w:themeColor="text1"/>
          <w:sz w:val="20"/>
        </w:rPr>
        <w:t>https://www.fec.gov/updates/ao-2017-12-nonprofit-must-include-disclaimers-its-facebook-ads</w:t>
      </w:r>
      <w:r w:rsidRPr="00B31D29">
        <w:rPr>
          <w:color w:val="000000" w:themeColor="text1"/>
          <w:sz w:val="20"/>
          <w:szCs w:val="16"/>
        </w:rPr>
        <w:t xml:space="preserve">. </w:t>
      </w:r>
    </w:p>
  </w:footnote>
  <w:footnote w:id="149">
    <w:p w14:paraId="217F5017" w14:textId="26EB514C"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 xml:space="preserve">Certification, </w:t>
      </w:r>
      <w:r w:rsidRPr="00B31D29">
        <w:rPr>
          <w:i/>
          <w:color w:val="000000" w:themeColor="text1"/>
          <w:sz w:val="20"/>
          <w:szCs w:val="16"/>
        </w:rPr>
        <w:t xml:space="preserve">supra </w:t>
      </w:r>
      <w:r w:rsidRPr="00B31D29">
        <w:rPr>
          <w:color w:val="000000" w:themeColor="text1"/>
          <w:sz w:val="20"/>
          <w:szCs w:val="16"/>
        </w:rPr>
        <w:t xml:space="preserve">note </w:t>
      </w:r>
      <w:r w:rsidRPr="00B31D29">
        <w:rPr>
          <w:color w:val="000000" w:themeColor="text1"/>
          <w:sz w:val="20"/>
          <w:szCs w:val="16"/>
        </w:rPr>
        <w:fldChar w:fldCharType="begin"/>
      </w:r>
      <w:r w:rsidRPr="00B31D29">
        <w:rPr>
          <w:color w:val="000000" w:themeColor="text1"/>
          <w:sz w:val="20"/>
          <w:szCs w:val="16"/>
        </w:rPr>
        <w:instrText xml:space="preserve"> NOTEREF _Ref374102734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144</w:t>
      </w:r>
      <w:r w:rsidRPr="00B31D29">
        <w:rPr>
          <w:color w:val="000000" w:themeColor="text1"/>
          <w:sz w:val="20"/>
          <w:szCs w:val="16"/>
        </w:rPr>
        <w:fldChar w:fldCharType="end"/>
      </w:r>
      <w:r w:rsidRPr="00B31D29">
        <w:rPr>
          <w:color w:val="000000" w:themeColor="text1"/>
          <w:sz w:val="20"/>
          <w:szCs w:val="16"/>
        </w:rPr>
        <w:t>; Draft B, Advisory Opinion 2011-09, at 5–6 (June 15, 2011), https://www.fec.gov/files/legal/aos/2011-09/1176020.pdf.</w:t>
      </w:r>
    </w:p>
  </w:footnote>
  <w:footnote w:id="150">
    <w:p w14:paraId="2C303AA1" w14:textId="2E13476E"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5.</w:t>
      </w:r>
    </w:p>
  </w:footnote>
  <w:footnote w:id="151">
    <w:p w14:paraId="5145F5C6" w14:textId="696DD1E0"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 xml:space="preserve">Certification, </w:t>
      </w:r>
      <w:r w:rsidRPr="00B31D29">
        <w:rPr>
          <w:i/>
          <w:color w:val="000000" w:themeColor="text1"/>
          <w:sz w:val="20"/>
          <w:szCs w:val="16"/>
        </w:rPr>
        <w:t xml:space="preserve">In re </w:t>
      </w:r>
      <w:r w:rsidRPr="00B31D29">
        <w:rPr>
          <w:color w:val="000000" w:themeColor="text1"/>
          <w:sz w:val="20"/>
          <w:szCs w:val="16"/>
        </w:rPr>
        <w:t xml:space="preserve">Revolution Messaging, LLC, FEC AO 2013-18 (Feb. 27, 2014), https://www.fec.gov/files/legal/aos/2013-18/1252337.pdf. </w:t>
      </w:r>
    </w:p>
  </w:footnote>
  <w:footnote w:id="152">
    <w:p w14:paraId="03F28B1E" w14:textId="4C96106F"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Letter from Joseph E. Sandler et al., Counsel to Revolution Messaging, LLC, to Lisa Stevenson, Deputy Gen. Counsel, FEC 2, 4 (Sept. 11, 2013), http://saos.fec.gov/aodocs/1247145.pdf.</w:t>
      </w:r>
    </w:p>
  </w:footnote>
  <w:footnote w:id="153">
    <w:p w14:paraId="0ACFBDBE" w14:textId="34015E26"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1.</w:t>
      </w:r>
    </w:p>
  </w:footnote>
  <w:footnote w:id="154">
    <w:p w14:paraId="5EAECC35" w14:textId="27E4424B" w:rsidR="00CF426F" w:rsidRPr="00B31D29" w:rsidRDefault="00CF426F" w:rsidP="00637AD3">
      <w:pPr>
        <w:pStyle w:val="FootNote"/>
        <w:widowControl w:val="0"/>
        <w:rPr>
          <w:i/>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See generally </w:t>
      </w:r>
      <w:r w:rsidRPr="00B31D29">
        <w:rPr>
          <w:color w:val="000000" w:themeColor="text1"/>
          <w:sz w:val="20"/>
          <w:szCs w:val="16"/>
        </w:rPr>
        <w:t>Letter from Joseph E. Sandler et al., Counsel to Revolution Messaging, LLC, to Lisa Stevenson, Deputy Gen. Counsel, FEC (Feb. 3, 2014), http://saos.fec.gov/aodocs/1251248.pdf.</w:t>
      </w:r>
    </w:p>
  </w:footnote>
  <w:footnote w:id="155">
    <w:p w14:paraId="72DCF135" w14:textId="2C9A8F67"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See </w:t>
      </w:r>
      <w:r w:rsidRPr="00B31D29">
        <w:rPr>
          <w:color w:val="000000" w:themeColor="text1"/>
          <w:sz w:val="20"/>
          <w:szCs w:val="16"/>
        </w:rPr>
        <w:t xml:space="preserve">Certification, </w:t>
      </w:r>
      <w:r w:rsidRPr="00B31D29">
        <w:rPr>
          <w:i/>
          <w:color w:val="000000" w:themeColor="text1"/>
          <w:sz w:val="20"/>
          <w:szCs w:val="16"/>
        </w:rPr>
        <w:t xml:space="preserve">supra </w:t>
      </w:r>
      <w:r w:rsidRPr="00B31D29">
        <w:rPr>
          <w:color w:val="000000" w:themeColor="text1"/>
          <w:sz w:val="20"/>
          <w:szCs w:val="16"/>
        </w:rPr>
        <w:t xml:space="preserve">note </w:t>
      </w:r>
      <w:r w:rsidRPr="00B31D29">
        <w:rPr>
          <w:color w:val="000000" w:themeColor="text1"/>
          <w:sz w:val="20"/>
          <w:szCs w:val="16"/>
        </w:rPr>
        <w:fldChar w:fldCharType="begin"/>
      </w:r>
      <w:r w:rsidRPr="00B31D29">
        <w:rPr>
          <w:color w:val="000000" w:themeColor="text1"/>
          <w:sz w:val="20"/>
          <w:szCs w:val="16"/>
        </w:rPr>
        <w:instrText xml:space="preserve"> NOTEREF _Ref374103352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150</w:t>
      </w:r>
      <w:r w:rsidRPr="00B31D29">
        <w:rPr>
          <w:color w:val="000000" w:themeColor="text1"/>
          <w:sz w:val="20"/>
          <w:szCs w:val="16"/>
        </w:rPr>
        <w:fldChar w:fldCharType="end"/>
      </w:r>
      <w:r w:rsidRPr="00B31D29">
        <w:rPr>
          <w:color w:val="000000" w:themeColor="text1"/>
          <w:sz w:val="20"/>
          <w:szCs w:val="16"/>
        </w:rPr>
        <w:t>; Revised Draft B, Advisory Opinion 2013-18, at 4 (Feb. 26, 2013), https://www.fec.gov/files/legal/aos/2013-18/201318_2.pdf.</w:t>
      </w:r>
    </w:p>
  </w:footnote>
  <w:footnote w:id="156">
    <w:p w14:paraId="211E63EF" w14:textId="407C1E23"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See </w:t>
      </w:r>
      <w:r w:rsidRPr="00B31D29">
        <w:rPr>
          <w:color w:val="000000" w:themeColor="text1"/>
          <w:sz w:val="20"/>
          <w:szCs w:val="16"/>
        </w:rPr>
        <w:t xml:space="preserve">Certification, </w:t>
      </w:r>
      <w:r w:rsidRPr="00B31D29">
        <w:rPr>
          <w:i/>
          <w:color w:val="000000" w:themeColor="text1"/>
          <w:sz w:val="20"/>
          <w:szCs w:val="16"/>
        </w:rPr>
        <w:t xml:space="preserve">supra </w:t>
      </w:r>
      <w:r w:rsidRPr="00B31D29">
        <w:rPr>
          <w:color w:val="000000" w:themeColor="text1"/>
          <w:sz w:val="20"/>
          <w:szCs w:val="16"/>
        </w:rPr>
        <w:t xml:space="preserve">note </w:t>
      </w:r>
      <w:r w:rsidRPr="00B31D29">
        <w:rPr>
          <w:color w:val="000000" w:themeColor="text1"/>
          <w:sz w:val="20"/>
          <w:szCs w:val="16"/>
        </w:rPr>
        <w:fldChar w:fldCharType="begin"/>
      </w:r>
      <w:r w:rsidRPr="00B31D29">
        <w:rPr>
          <w:color w:val="000000" w:themeColor="text1"/>
          <w:sz w:val="20"/>
          <w:szCs w:val="16"/>
        </w:rPr>
        <w:instrText xml:space="preserve"> NOTEREF _Ref374103352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150</w:t>
      </w:r>
      <w:r w:rsidRPr="00B31D29">
        <w:rPr>
          <w:color w:val="000000" w:themeColor="text1"/>
          <w:sz w:val="20"/>
          <w:szCs w:val="16"/>
        </w:rPr>
        <w:fldChar w:fldCharType="end"/>
      </w:r>
      <w:r w:rsidRPr="00B31D29">
        <w:rPr>
          <w:color w:val="000000" w:themeColor="text1"/>
          <w:sz w:val="20"/>
          <w:szCs w:val="16"/>
        </w:rPr>
        <w:t>; Revised Draft A, Advisory Opinion 2013-18, at 4, 7–8 (Feb. 21, 2014), https://www.fec.gov/files/legal/aos/2013-18/201318_1.pdf.</w:t>
      </w:r>
    </w:p>
  </w:footnote>
  <w:footnote w:id="157">
    <w:p w14:paraId="25EC8E09" w14:textId="6FCDC0D8"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10 (quoting 11 C.F.R. § 110.11(c)(1) (2014)). </w:t>
      </w:r>
      <w:r w:rsidRPr="00B31D29">
        <w:rPr>
          <w:i/>
          <w:color w:val="000000" w:themeColor="text1"/>
          <w:sz w:val="20"/>
          <w:szCs w:val="16"/>
        </w:rPr>
        <w:t>See also</w:t>
      </w:r>
      <w:r w:rsidRPr="00B31D29">
        <w:rPr>
          <w:color w:val="000000" w:themeColor="text1"/>
          <w:sz w:val="20"/>
          <w:szCs w:val="16"/>
        </w:rPr>
        <w:t xml:space="preserve"> Statement for the Record by Vice Chair Ann M. Ravel, Comm’r Steven T. Walther,</w:t>
      </w:r>
      <w:r w:rsidR="006479DC" w:rsidRPr="00B31D29">
        <w:rPr>
          <w:color w:val="000000" w:themeColor="text1"/>
          <w:sz w:val="20"/>
          <w:szCs w:val="16"/>
        </w:rPr>
        <w:t xml:space="preserve"> &amp; </w:t>
      </w:r>
      <w:r w:rsidRPr="00B31D29">
        <w:rPr>
          <w:color w:val="000000" w:themeColor="text1"/>
          <w:sz w:val="20"/>
          <w:szCs w:val="16"/>
        </w:rPr>
        <w:t>Comm’r Ellen L. Weintraub in Advisory Opinion Request 2013-18</w:t>
      </w:r>
      <w:r w:rsidR="006479DC" w:rsidRPr="00B31D29">
        <w:rPr>
          <w:color w:val="000000" w:themeColor="text1"/>
          <w:sz w:val="20"/>
          <w:szCs w:val="16"/>
        </w:rPr>
        <w:t>, at</w:t>
      </w:r>
      <w:r w:rsidRPr="00B31D29">
        <w:rPr>
          <w:color w:val="000000" w:themeColor="text1"/>
          <w:sz w:val="20"/>
          <w:szCs w:val="16"/>
        </w:rPr>
        <w:t xml:space="preserve"> 2 (Feb. 27, 2014), https://www.fec.gov/files/legal/aos/2013-18/1252267.pdf (reiterating the Commissioners’ position that disclaimer requirements should not be struck down on the basis of surmountable technological limitations). </w:t>
      </w:r>
    </w:p>
  </w:footnote>
  <w:footnote w:id="158">
    <w:p w14:paraId="7F11AA4F" w14:textId="27A7562C"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See</w:t>
      </w:r>
      <w:r w:rsidRPr="00B31D29">
        <w:rPr>
          <w:color w:val="000000" w:themeColor="text1"/>
          <w:sz w:val="20"/>
          <w:szCs w:val="16"/>
        </w:rPr>
        <w:t xml:space="preserve"> Tex. Ethics Comm’n Advisory Op. No. 491 (Apr. 21, 2010), https://www.ethics.state.tx.us/opinions/491.html. </w:t>
      </w:r>
      <w:r w:rsidRPr="00B31D29">
        <w:rPr>
          <w:i/>
          <w:color w:val="000000" w:themeColor="text1"/>
          <w:sz w:val="20"/>
          <w:szCs w:val="16"/>
        </w:rPr>
        <w:t>See also</w:t>
      </w:r>
      <w:r w:rsidRPr="00B31D29">
        <w:rPr>
          <w:smallCaps/>
          <w:color w:val="000000" w:themeColor="text1"/>
          <w:sz w:val="20"/>
          <w:szCs w:val="16"/>
        </w:rPr>
        <w:t xml:space="preserve"> Interactive Advert. Bureau</w:t>
      </w:r>
      <w:r w:rsidRPr="00B31D29">
        <w:rPr>
          <w:color w:val="000000" w:themeColor="text1"/>
          <w:sz w:val="20"/>
          <w:szCs w:val="16"/>
        </w:rPr>
        <w:t xml:space="preserve">, </w:t>
      </w:r>
      <w:r w:rsidRPr="00B31D29">
        <w:rPr>
          <w:smallCaps/>
          <w:color w:val="000000" w:themeColor="text1"/>
          <w:sz w:val="20"/>
          <w:szCs w:val="16"/>
        </w:rPr>
        <w:t xml:space="preserve">Federal Election Commission (FEC) and State Regulation of Online Political Advertising 3–6 </w:t>
      </w:r>
      <w:r w:rsidRPr="00B31D29">
        <w:rPr>
          <w:color w:val="000000" w:themeColor="text1"/>
          <w:spacing w:val="-4"/>
          <w:sz w:val="20"/>
          <w:szCs w:val="16"/>
        </w:rPr>
        <w:t xml:space="preserve">(2012), </w:t>
      </w:r>
      <w:r w:rsidRPr="00B31D29">
        <w:rPr>
          <w:color w:val="000000" w:themeColor="text1"/>
          <w:spacing w:val="-4"/>
          <w:sz w:val="20"/>
        </w:rPr>
        <w:t>https://www.iab.com/wp-content/uploads/2015/07/Memo-FEC-and-Online-Poltical-Advertising.pdf</w:t>
      </w:r>
      <w:r w:rsidRPr="00B31D29">
        <w:rPr>
          <w:color w:val="000000" w:themeColor="text1"/>
          <w:sz w:val="20"/>
          <w:szCs w:val="16"/>
        </w:rPr>
        <w:t xml:space="preserve"> (summarizing several state-level approaches to regulating online political advertising). </w:t>
      </w:r>
    </w:p>
  </w:footnote>
  <w:footnote w:id="159">
    <w:p w14:paraId="63BF9DFF" w14:textId="749CF5A2"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Tex. Ethics Comm’n</w:t>
      </w:r>
      <w:r w:rsidRPr="00B31D29">
        <w:rPr>
          <w:smallCaps/>
          <w:color w:val="000000" w:themeColor="text1"/>
          <w:sz w:val="20"/>
          <w:szCs w:val="16"/>
        </w:rPr>
        <w:t xml:space="preserve"> A</w:t>
      </w:r>
      <w:r w:rsidRPr="00B31D29">
        <w:rPr>
          <w:color w:val="000000" w:themeColor="text1"/>
          <w:sz w:val="20"/>
          <w:szCs w:val="16"/>
        </w:rPr>
        <w:t>dvisory Op. No. 491</w:t>
      </w:r>
      <w:r w:rsidRPr="00B31D29">
        <w:rPr>
          <w:smallCaps/>
          <w:color w:val="000000" w:themeColor="text1"/>
          <w:sz w:val="20"/>
          <w:szCs w:val="16"/>
        </w:rPr>
        <w:t xml:space="preserve">,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_Ref378000344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157</w:t>
      </w:r>
      <w:r w:rsidRPr="00B31D29">
        <w:rPr>
          <w:color w:val="000000" w:themeColor="text1"/>
          <w:sz w:val="20"/>
          <w:szCs w:val="16"/>
        </w:rPr>
        <w:fldChar w:fldCharType="end"/>
      </w:r>
      <w:r w:rsidRPr="00B31D29">
        <w:rPr>
          <w:color w:val="000000" w:themeColor="text1"/>
          <w:sz w:val="20"/>
          <w:szCs w:val="16"/>
        </w:rPr>
        <w:t>.</w:t>
      </w:r>
      <w:r w:rsidRPr="00B31D29">
        <w:rPr>
          <w:smallCaps/>
          <w:color w:val="000000" w:themeColor="text1"/>
          <w:sz w:val="20"/>
          <w:szCs w:val="16"/>
        </w:rPr>
        <w:t xml:space="preserve"> </w:t>
      </w:r>
      <w:r w:rsidRPr="00B31D29">
        <w:rPr>
          <w:i/>
          <w:smallCaps/>
          <w:color w:val="000000" w:themeColor="text1"/>
          <w:sz w:val="20"/>
          <w:szCs w:val="16"/>
        </w:rPr>
        <w:t>S</w:t>
      </w:r>
      <w:r w:rsidRPr="00B31D29">
        <w:rPr>
          <w:i/>
          <w:color w:val="000000" w:themeColor="text1"/>
          <w:sz w:val="20"/>
          <w:szCs w:val="16"/>
        </w:rPr>
        <w:t xml:space="preserve">ee </w:t>
      </w:r>
      <w:r w:rsidRPr="00B31D29">
        <w:rPr>
          <w:smallCaps/>
          <w:color w:val="000000" w:themeColor="text1"/>
          <w:sz w:val="20"/>
          <w:szCs w:val="16"/>
        </w:rPr>
        <w:t>Tex. Elec. Code Ann</w:t>
      </w:r>
      <w:r w:rsidRPr="00B31D29">
        <w:rPr>
          <w:color w:val="000000" w:themeColor="text1"/>
          <w:sz w:val="20"/>
          <w:szCs w:val="16"/>
        </w:rPr>
        <w:t xml:space="preserve"> § 255.001 (West 2017).</w:t>
      </w:r>
    </w:p>
  </w:footnote>
  <w:footnote w:id="160">
    <w:p w14:paraId="491D1EDF" w14:textId="44884EA6"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Tex. Ethics Comm’n</w:t>
      </w:r>
      <w:r w:rsidRPr="00B31D29">
        <w:rPr>
          <w:smallCaps/>
          <w:color w:val="000000" w:themeColor="text1"/>
          <w:sz w:val="20"/>
          <w:szCs w:val="16"/>
        </w:rPr>
        <w:t xml:space="preserve"> A</w:t>
      </w:r>
      <w:r w:rsidRPr="00B31D29">
        <w:rPr>
          <w:color w:val="000000" w:themeColor="text1"/>
          <w:sz w:val="20"/>
          <w:szCs w:val="16"/>
        </w:rPr>
        <w:t>dvisory Op. No. 491</w:t>
      </w:r>
      <w:r w:rsidRPr="00B31D29">
        <w:rPr>
          <w:smallCaps/>
          <w:color w:val="000000" w:themeColor="text1"/>
          <w:sz w:val="20"/>
          <w:szCs w:val="16"/>
        </w:rPr>
        <w:t xml:space="preserve">,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_Ref378000344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157</w:t>
      </w:r>
      <w:r w:rsidRPr="00B31D29">
        <w:rPr>
          <w:color w:val="000000" w:themeColor="text1"/>
          <w:sz w:val="20"/>
          <w:szCs w:val="16"/>
        </w:rPr>
        <w:fldChar w:fldCharType="end"/>
      </w:r>
      <w:r w:rsidRPr="00B31D29">
        <w:rPr>
          <w:color w:val="000000" w:themeColor="text1"/>
          <w:sz w:val="20"/>
          <w:szCs w:val="16"/>
        </w:rPr>
        <w:t>.</w:t>
      </w:r>
    </w:p>
  </w:footnote>
  <w:footnote w:id="161">
    <w:p w14:paraId="7D3625AD" w14:textId="2004EA7C"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w:t>
      </w:r>
    </w:p>
  </w:footnote>
  <w:footnote w:id="162">
    <w:p w14:paraId="215067CB" w14:textId="75C8BCF8"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smallCaps/>
          <w:color w:val="000000" w:themeColor="text1"/>
          <w:sz w:val="20"/>
          <w:szCs w:val="16"/>
        </w:rPr>
        <w:t>Fla. Stat.</w:t>
      </w:r>
      <w:r w:rsidRPr="00B31D29">
        <w:rPr>
          <w:color w:val="000000" w:themeColor="text1"/>
          <w:sz w:val="20"/>
          <w:szCs w:val="16"/>
        </w:rPr>
        <w:t xml:space="preserve"> § 106.143(10)(c) (2017).</w:t>
      </w:r>
    </w:p>
  </w:footnote>
  <w:footnote w:id="163">
    <w:p w14:paraId="24AA99A9" w14:textId="4C49651F"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 106.143(10)(i). </w:t>
      </w:r>
    </w:p>
  </w:footnote>
  <w:footnote w:id="164">
    <w:p w14:paraId="3FD5A3BD" w14:textId="36B93BDE" w:rsidR="00CF426F" w:rsidRPr="00B31D29" w:rsidRDefault="00CF426F" w:rsidP="00637AD3">
      <w:pPr>
        <w:pStyle w:val="FootNote"/>
        <w:widowControl w:val="0"/>
        <w:rPr>
          <w:color w:val="000000" w:themeColor="text1"/>
          <w:sz w:val="20"/>
          <w:szCs w:val="16"/>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smallCaps/>
          <w:color w:val="000000" w:themeColor="text1"/>
          <w:sz w:val="20"/>
          <w:szCs w:val="16"/>
        </w:rPr>
        <w:t>Md. Code Regs.</w:t>
      </w:r>
      <w:r w:rsidRPr="00B31D29">
        <w:rPr>
          <w:color w:val="000000" w:themeColor="text1"/>
          <w:sz w:val="20"/>
          <w:szCs w:val="16"/>
        </w:rPr>
        <w:t xml:space="preserve"> 33.13.07.02(D)(2)(b)(i) (2017).</w:t>
      </w:r>
    </w:p>
  </w:footnote>
  <w:footnote w:id="165">
    <w:p w14:paraId="01F75E1C" w14:textId="15107152"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33.13.07.02(D)(2)(b)(ii).</w:t>
      </w:r>
    </w:p>
  </w:footnote>
  <w:footnote w:id="166">
    <w:p w14:paraId="09E2007D" w14:textId="6E1A291F"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33.13.07.02(D)(2)(c)(i)–c(iv). </w:t>
      </w:r>
    </w:p>
  </w:footnote>
  <w:footnote w:id="167">
    <w:p w14:paraId="3E396440" w14:textId="03386BED"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smallCaps/>
          <w:color w:val="000000" w:themeColor="text1"/>
          <w:sz w:val="20"/>
          <w:szCs w:val="16"/>
        </w:rPr>
        <w:t>Cal. Code Regs.</w:t>
      </w:r>
      <w:r w:rsidRPr="00B31D29">
        <w:rPr>
          <w:color w:val="000000" w:themeColor="text1"/>
          <w:sz w:val="20"/>
          <w:szCs w:val="16"/>
        </w:rPr>
        <w:t xml:space="preserve"> tit. 2, § 18450.4(b)(3)(G)(1) (2017).</w:t>
      </w:r>
    </w:p>
  </w:footnote>
  <w:footnote w:id="168">
    <w:p w14:paraId="3AC7B57F" w14:textId="3C3E0774"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bCs/>
          <w:color w:val="000000" w:themeColor="text1"/>
          <w:sz w:val="20"/>
          <w:szCs w:val="16"/>
        </w:rPr>
        <w:t xml:space="preserve">Bauerly, </w:t>
      </w:r>
      <w:r w:rsidRPr="00B31D29">
        <w:rPr>
          <w:bCs/>
          <w:i/>
          <w:color w:val="000000" w:themeColor="text1"/>
          <w:sz w:val="20"/>
          <w:szCs w:val="16"/>
        </w:rPr>
        <w:t>supra</w:t>
      </w:r>
      <w:r w:rsidRPr="00B31D29">
        <w:rPr>
          <w:bCs/>
          <w:color w:val="000000" w:themeColor="text1"/>
          <w:sz w:val="20"/>
          <w:szCs w:val="16"/>
        </w:rPr>
        <w:t xml:space="preserve"> note </w:t>
      </w:r>
      <w:r w:rsidRPr="00B31D29">
        <w:rPr>
          <w:bCs/>
          <w:color w:val="000000" w:themeColor="text1"/>
          <w:sz w:val="20"/>
          <w:szCs w:val="16"/>
        </w:rPr>
        <w:fldChar w:fldCharType="begin"/>
      </w:r>
      <w:r w:rsidRPr="00B31D29">
        <w:rPr>
          <w:bCs/>
          <w:color w:val="000000" w:themeColor="text1"/>
          <w:sz w:val="20"/>
          <w:szCs w:val="16"/>
        </w:rPr>
        <w:instrText xml:space="preserve"> NOTEREF _Ref496705330 \h </w:instrText>
      </w:r>
      <w:r w:rsidRPr="00B31D29">
        <w:rPr>
          <w:bCs/>
          <w:color w:val="000000" w:themeColor="text1"/>
          <w:sz w:val="20"/>
          <w:szCs w:val="16"/>
        </w:rPr>
      </w:r>
      <w:r w:rsidR="00B31D29" w:rsidRPr="00B31D29">
        <w:rPr>
          <w:bCs/>
          <w:color w:val="000000" w:themeColor="text1"/>
          <w:sz w:val="20"/>
          <w:szCs w:val="16"/>
        </w:rPr>
        <w:instrText xml:space="preserve"> \* MERGEFORMAT </w:instrText>
      </w:r>
      <w:r w:rsidRPr="00B31D29">
        <w:rPr>
          <w:bCs/>
          <w:color w:val="000000" w:themeColor="text1"/>
          <w:sz w:val="20"/>
          <w:szCs w:val="16"/>
        </w:rPr>
        <w:fldChar w:fldCharType="separate"/>
      </w:r>
      <w:r w:rsidR="00203FC5" w:rsidRPr="00B31D29">
        <w:rPr>
          <w:bCs/>
          <w:color w:val="000000" w:themeColor="text1"/>
          <w:sz w:val="20"/>
          <w:szCs w:val="16"/>
        </w:rPr>
        <w:t>132</w:t>
      </w:r>
      <w:r w:rsidRPr="00B31D29">
        <w:rPr>
          <w:bCs/>
          <w:color w:val="000000" w:themeColor="text1"/>
          <w:sz w:val="20"/>
          <w:szCs w:val="16"/>
        </w:rPr>
        <w:fldChar w:fldCharType="end"/>
      </w:r>
      <w:r w:rsidRPr="00B31D29">
        <w:rPr>
          <w:bCs/>
          <w:color w:val="000000" w:themeColor="text1"/>
          <w:sz w:val="20"/>
          <w:szCs w:val="16"/>
        </w:rPr>
        <w:t>, at 533</w:t>
      </w:r>
      <w:r w:rsidRPr="00B31D29">
        <w:rPr>
          <w:color w:val="000000" w:themeColor="text1"/>
          <w:sz w:val="20"/>
          <w:szCs w:val="16"/>
        </w:rPr>
        <w:t>–</w:t>
      </w:r>
      <w:r w:rsidRPr="00B31D29">
        <w:rPr>
          <w:bCs/>
          <w:color w:val="000000" w:themeColor="text1"/>
          <w:sz w:val="20"/>
          <w:szCs w:val="16"/>
        </w:rPr>
        <w:t>35.</w:t>
      </w:r>
    </w:p>
  </w:footnote>
  <w:footnote w:id="169">
    <w:p w14:paraId="1A8A93EB" w14:textId="631E00AE"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w:t>
      </w:r>
    </w:p>
  </w:footnote>
  <w:footnote w:id="170">
    <w:p w14:paraId="51595C7C" w14:textId="01D17988"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See </w:t>
      </w:r>
      <w:r w:rsidRPr="00B31D29">
        <w:rPr>
          <w:color w:val="000000" w:themeColor="text1"/>
          <w:sz w:val="20"/>
          <w:szCs w:val="16"/>
        </w:rPr>
        <w:t>Internet Communication Disclaimers,</w:t>
      </w:r>
      <w:r w:rsidRPr="00B31D29">
        <w:rPr>
          <w:i/>
          <w:color w:val="000000" w:themeColor="text1"/>
          <w:sz w:val="20"/>
          <w:szCs w:val="16"/>
        </w:rPr>
        <w:t xml:space="preserve"> </w:t>
      </w:r>
      <w:r w:rsidRPr="00B31D29">
        <w:rPr>
          <w:color w:val="000000" w:themeColor="text1"/>
          <w:sz w:val="20"/>
          <w:szCs w:val="16"/>
        </w:rPr>
        <w:t>82 Fed. Reg. 46,937 (proposed Oct. 10, 2017) (to be codified at 11 C.F.R. pt. 110).</w:t>
      </w:r>
    </w:p>
  </w:footnote>
  <w:footnote w:id="171">
    <w:p w14:paraId="1F58C1BB" w14:textId="3BF39AEC" w:rsidR="00CF426F" w:rsidRPr="00B31D29" w:rsidRDefault="00CF426F" w:rsidP="00637AD3">
      <w:pPr>
        <w:pStyle w:val="FootNote"/>
        <w:widowControl w:val="0"/>
        <w:rPr>
          <w:color w:val="000000" w:themeColor="text1"/>
          <w:sz w:val="20"/>
          <w:shd w:val="clear" w:color="auto" w:fill="FFFFFF"/>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See</w:t>
      </w:r>
      <w:r w:rsidRPr="00B31D29">
        <w:rPr>
          <w:color w:val="000000" w:themeColor="text1"/>
          <w:sz w:val="20"/>
          <w:szCs w:val="16"/>
        </w:rPr>
        <w:t xml:space="preserve"> Nathaniel Persily, </w:t>
      </w:r>
      <w:r w:rsidRPr="00B31D29">
        <w:rPr>
          <w:i/>
          <w:color w:val="000000" w:themeColor="text1"/>
          <w:sz w:val="20"/>
          <w:szCs w:val="16"/>
        </w:rPr>
        <w:t>The Campaign Revolution Will Not Be Televised</w:t>
      </w:r>
      <w:r w:rsidRPr="00B31D29">
        <w:rPr>
          <w:color w:val="000000" w:themeColor="text1"/>
          <w:sz w:val="20"/>
          <w:szCs w:val="16"/>
        </w:rPr>
        <w:t xml:space="preserve">, </w:t>
      </w:r>
      <w:r w:rsidRPr="00B31D29">
        <w:rPr>
          <w:smallCaps/>
          <w:color w:val="000000" w:themeColor="text1"/>
          <w:sz w:val="20"/>
          <w:szCs w:val="16"/>
        </w:rPr>
        <w:t>Am. Interest</w:t>
      </w:r>
      <w:r w:rsidRPr="00B31D29">
        <w:rPr>
          <w:color w:val="000000" w:themeColor="text1"/>
          <w:sz w:val="20"/>
          <w:szCs w:val="16"/>
        </w:rPr>
        <w:t xml:space="preserve"> (Oct. 10, 2015), https://www.the-american-interest.com/2015/10/10/the-campaign-revolution-will-not-be-televised (“[W]</w:t>
      </w:r>
      <w:r w:rsidRPr="00B31D29">
        <w:rPr>
          <w:color w:val="000000" w:themeColor="text1"/>
          <w:sz w:val="20"/>
          <w:szCs w:val="16"/>
          <w:shd w:val="clear" w:color="auto" w:fill="FFFFFF"/>
        </w:rPr>
        <w:t>hen the current Chair of the FEC merely hinted at updating regulations to account for the transition to online campaigning, her opponents both within and beyond the FEC publicly criticized her.”).</w:t>
      </w:r>
    </w:p>
  </w:footnote>
  <w:footnote w:id="172">
    <w:p w14:paraId="2B0CD9B5" w14:textId="473FB221"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 xml:space="preserve">Sean J. Miller, </w:t>
      </w:r>
      <w:r w:rsidRPr="00B31D29">
        <w:rPr>
          <w:i/>
          <w:color w:val="000000" w:themeColor="text1"/>
          <w:sz w:val="20"/>
          <w:szCs w:val="16"/>
        </w:rPr>
        <w:t>Digital Ad Spending Tops Estimates</w:t>
      </w:r>
      <w:r w:rsidRPr="00B31D29">
        <w:rPr>
          <w:color w:val="000000" w:themeColor="text1"/>
          <w:sz w:val="20"/>
          <w:szCs w:val="16"/>
        </w:rPr>
        <w:t xml:space="preserve">, </w:t>
      </w:r>
      <w:r w:rsidRPr="00B31D29">
        <w:rPr>
          <w:smallCaps/>
          <w:color w:val="000000" w:themeColor="text1"/>
          <w:sz w:val="20"/>
          <w:szCs w:val="16"/>
        </w:rPr>
        <w:t>Campaigns &amp; Elections</w:t>
      </w:r>
      <w:r w:rsidRPr="00B31D29">
        <w:rPr>
          <w:color w:val="000000" w:themeColor="text1"/>
          <w:sz w:val="20"/>
          <w:szCs w:val="16"/>
        </w:rPr>
        <w:t xml:space="preserve"> (Jan. 4, 2017), https://www.campaignsandelections.com/campaign-insider/digital-ad-spending-tops-estimates. </w:t>
      </w:r>
    </w:p>
  </w:footnote>
  <w:footnote w:id="173">
    <w:p w14:paraId="2708C621" w14:textId="5F74BC7B"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smallCaps/>
          <w:color w:val="000000" w:themeColor="text1"/>
          <w:sz w:val="20"/>
          <w:szCs w:val="16"/>
        </w:rPr>
        <w:t xml:space="preserve">Interactive Advert. Bureau &amp; Vision Critical, The Race for the White House 2016: Registered Voters and Media and Information During the Primaries 4 (2016), </w:t>
      </w:r>
      <w:r w:rsidRPr="00B31D29">
        <w:rPr>
          <w:color w:val="000000" w:themeColor="text1"/>
          <w:spacing w:val="4"/>
          <w:sz w:val="20"/>
          <w:szCs w:val="16"/>
        </w:rPr>
        <w:t>https://www.iab.com/insights/the-race</w:t>
      </w:r>
      <w:r w:rsidRPr="00B31D29">
        <w:rPr>
          <w:color w:val="000000" w:themeColor="text1"/>
          <w:spacing w:val="2"/>
          <w:sz w:val="20"/>
          <w:szCs w:val="16"/>
        </w:rPr>
        <w:t>-for-</w:t>
      </w:r>
      <w:r w:rsidRPr="00B31D29">
        <w:rPr>
          <w:color w:val="000000" w:themeColor="text1"/>
          <w:spacing w:val="4"/>
          <w:sz w:val="20"/>
          <w:szCs w:val="16"/>
        </w:rPr>
        <w:t>the-white</w:t>
      </w:r>
      <w:r w:rsidRPr="00B31D29">
        <w:rPr>
          <w:color w:val="000000" w:themeColor="text1"/>
          <w:spacing w:val="2"/>
          <w:sz w:val="20"/>
          <w:szCs w:val="16"/>
        </w:rPr>
        <w:t>-</w:t>
      </w:r>
      <w:r w:rsidRPr="00B31D29">
        <w:rPr>
          <w:color w:val="000000" w:themeColor="text1"/>
          <w:spacing w:val="4"/>
          <w:sz w:val="20"/>
          <w:szCs w:val="16"/>
        </w:rPr>
        <w:t>house</w:t>
      </w:r>
      <w:r w:rsidRPr="00B31D29">
        <w:rPr>
          <w:color w:val="000000" w:themeColor="text1"/>
          <w:spacing w:val="2"/>
          <w:sz w:val="20"/>
          <w:szCs w:val="16"/>
        </w:rPr>
        <w:t>-2016-</w:t>
      </w:r>
      <w:r w:rsidRPr="00B31D29">
        <w:rPr>
          <w:color w:val="000000" w:themeColor="text1"/>
          <w:spacing w:val="4"/>
          <w:sz w:val="20"/>
          <w:szCs w:val="16"/>
        </w:rPr>
        <w:t>registered</w:t>
      </w:r>
      <w:r w:rsidRPr="00B31D29">
        <w:rPr>
          <w:color w:val="000000" w:themeColor="text1"/>
          <w:spacing w:val="2"/>
          <w:sz w:val="20"/>
          <w:szCs w:val="16"/>
        </w:rPr>
        <w:t>-voters-and-</w:t>
      </w:r>
      <w:r w:rsidRPr="00B31D29">
        <w:rPr>
          <w:color w:val="000000" w:themeColor="text1"/>
          <w:spacing w:val="4"/>
          <w:sz w:val="20"/>
          <w:szCs w:val="16"/>
        </w:rPr>
        <w:t>media</w:t>
      </w:r>
      <w:r w:rsidRPr="00B31D29">
        <w:rPr>
          <w:color w:val="000000" w:themeColor="text1"/>
          <w:spacing w:val="2"/>
          <w:sz w:val="20"/>
          <w:szCs w:val="16"/>
        </w:rPr>
        <w:t>-and-</w:t>
      </w:r>
      <w:r w:rsidRPr="00B31D29">
        <w:rPr>
          <w:color w:val="000000" w:themeColor="text1"/>
          <w:sz w:val="20"/>
          <w:szCs w:val="16"/>
        </w:rPr>
        <w:t>information-during-the-primaries.</w:t>
      </w:r>
      <w:r w:rsidRPr="00B31D29">
        <w:rPr>
          <w:smallCaps/>
          <w:color w:val="000000" w:themeColor="text1"/>
          <w:sz w:val="20"/>
          <w:szCs w:val="16"/>
        </w:rPr>
        <w:t xml:space="preserve"> </w:t>
      </w:r>
    </w:p>
  </w:footnote>
  <w:footnote w:id="174">
    <w:p w14:paraId="16A59D82" w14:textId="1C6FA53C" w:rsidR="00CF426F" w:rsidRPr="00B31D29" w:rsidRDefault="00CF426F" w:rsidP="00637AD3">
      <w:pPr>
        <w:pStyle w:val="FootNote"/>
        <w:widowControl w:val="0"/>
        <w:rPr>
          <w:color w:val="000000" w:themeColor="text1"/>
          <w:sz w:val="20"/>
          <w:highlight w:val="yellow"/>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smallCaps/>
          <w:color w:val="000000" w:themeColor="text1"/>
          <w:sz w:val="20"/>
          <w:szCs w:val="16"/>
        </w:rPr>
        <w:t xml:space="preserve"> </w:t>
      </w:r>
    </w:p>
  </w:footnote>
  <w:footnote w:id="175">
    <w:p w14:paraId="6A983C92" w14:textId="2F554185" w:rsidR="00CF426F" w:rsidRPr="00B31D29" w:rsidRDefault="00CF426F" w:rsidP="00637AD3">
      <w:pPr>
        <w:pStyle w:val="FootNote"/>
        <w:widowControl w:val="0"/>
        <w:rPr>
          <w:smallCaps/>
          <w:color w:val="000000" w:themeColor="text1"/>
          <w:sz w:val="20"/>
        </w:rPr>
      </w:pPr>
      <w:r w:rsidRPr="00B31D29">
        <w:rPr>
          <w:smallCaps/>
          <w:color w:val="000000" w:themeColor="text1"/>
          <w:sz w:val="20"/>
          <w:szCs w:val="16"/>
        </w:rPr>
        <w:tab/>
      </w:r>
      <w:r w:rsidRPr="00B31D29">
        <w:rPr>
          <w:rStyle w:val="NoterefInNote"/>
          <w:color w:val="000000" w:themeColor="text1"/>
          <w:sz w:val="20"/>
        </w:rPr>
        <w:footnoteRef/>
      </w:r>
      <w:r w:rsidRPr="00B31D29">
        <w:rPr>
          <w:smallCaps/>
          <w:color w:val="000000" w:themeColor="text1"/>
          <w:sz w:val="20"/>
          <w:szCs w:val="16"/>
        </w:rPr>
        <w:t>.</w:t>
      </w:r>
      <w:r w:rsidRPr="00B31D29">
        <w:rPr>
          <w:smallCaps/>
          <w:color w:val="000000" w:themeColor="text1"/>
          <w:sz w:val="20"/>
          <w:szCs w:val="16"/>
        </w:rPr>
        <w:tab/>
        <w:t xml:space="preserve">Rubicon Project, 2016 Voter Media Consumption Habits 2 (2016), </w:t>
      </w:r>
      <w:r w:rsidRPr="00B31D29">
        <w:rPr>
          <w:color w:val="000000" w:themeColor="text1"/>
          <w:spacing w:val="2"/>
          <w:sz w:val="20"/>
          <w:szCs w:val="16"/>
        </w:rPr>
        <w:t>http://rubiconproject.com/wp-content/uploads/2016/01/Rubicon-Project-Voter-Media-Consumption-</w:t>
      </w:r>
      <w:r w:rsidRPr="00B31D29">
        <w:rPr>
          <w:color w:val="000000" w:themeColor="text1"/>
          <w:sz w:val="20"/>
          <w:szCs w:val="16"/>
        </w:rPr>
        <w:t>Habits.pdf.</w:t>
      </w:r>
      <w:r w:rsidRPr="00B31D29">
        <w:rPr>
          <w:smallCaps/>
          <w:color w:val="000000" w:themeColor="text1"/>
          <w:sz w:val="20"/>
          <w:szCs w:val="16"/>
        </w:rPr>
        <w:t xml:space="preserve"> </w:t>
      </w:r>
    </w:p>
  </w:footnote>
  <w:footnote w:id="176">
    <w:p w14:paraId="6D589DA7" w14:textId="74BF56FE"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1.</w:t>
      </w:r>
    </w:p>
  </w:footnote>
  <w:footnote w:id="177">
    <w:p w14:paraId="06674F73" w14:textId="6B7939A5"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Id. </w:t>
      </w:r>
      <w:r w:rsidRPr="00B31D29">
        <w:rPr>
          <w:color w:val="000000" w:themeColor="text1"/>
          <w:sz w:val="20"/>
          <w:szCs w:val="16"/>
        </w:rPr>
        <w:t>at 2.</w:t>
      </w:r>
      <w:r w:rsidRPr="00B31D29">
        <w:rPr>
          <w:i/>
          <w:color w:val="000000" w:themeColor="text1"/>
          <w:sz w:val="20"/>
          <w:szCs w:val="16"/>
        </w:rPr>
        <w:t xml:space="preserve"> </w:t>
      </w:r>
      <w:r w:rsidRPr="00B31D29">
        <w:rPr>
          <w:color w:val="000000" w:themeColor="text1"/>
          <w:sz w:val="20"/>
          <w:szCs w:val="16"/>
        </w:rPr>
        <w:t xml:space="preserve"> </w:t>
      </w:r>
    </w:p>
  </w:footnote>
  <w:footnote w:id="178">
    <w:p w14:paraId="445FA374" w14:textId="428540A3"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See Native Advertising: A Guide for Businesses</w:t>
      </w:r>
      <w:r w:rsidRPr="00B31D29">
        <w:rPr>
          <w:smallCaps/>
          <w:color w:val="000000" w:themeColor="text1"/>
          <w:sz w:val="20"/>
          <w:szCs w:val="16"/>
        </w:rPr>
        <w:t>, Fed. Trade Commission (</w:t>
      </w:r>
      <w:r w:rsidRPr="00B31D29">
        <w:rPr>
          <w:color w:val="000000" w:themeColor="text1"/>
          <w:sz w:val="20"/>
          <w:szCs w:val="16"/>
        </w:rPr>
        <w:t>Dec.</w:t>
      </w:r>
      <w:r w:rsidRPr="00B31D29">
        <w:rPr>
          <w:smallCaps/>
          <w:color w:val="000000" w:themeColor="text1"/>
          <w:sz w:val="20"/>
          <w:szCs w:val="16"/>
        </w:rPr>
        <w:t xml:space="preserve"> 2015</w:t>
      </w:r>
      <w:r w:rsidRPr="00B31D29">
        <w:rPr>
          <w:color w:val="000000" w:themeColor="text1"/>
          <w:sz w:val="20"/>
          <w:szCs w:val="16"/>
        </w:rPr>
        <w:t xml:space="preserve">), </w:t>
      </w:r>
      <w:r w:rsidRPr="00B31D29">
        <w:rPr>
          <w:color w:val="000000" w:themeColor="text1"/>
          <w:spacing w:val="-2"/>
          <w:sz w:val="20"/>
        </w:rPr>
        <w:t>https://www.ftc.gov/tips-advice/business-center/guidance/</w:t>
      </w:r>
      <w:r w:rsidRPr="00B31D29">
        <w:rPr>
          <w:color w:val="000000" w:themeColor="text1"/>
          <w:sz w:val="20"/>
        </w:rPr>
        <w:t>native-advertising-guide-businesses</w:t>
      </w:r>
      <w:r w:rsidRPr="00B31D29">
        <w:rPr>
          <w:color w:val="000000" w:themeColor="text1"/>
          <w:sz w:val="20"/>
          <w:szCs w:val="16"/>
        </w:rPr>
        <w:t xml:space="preserve"> (providing guidance to businesses on using native advertising techniques without deceiving consumers). </w:t>
      </w:r>
    </w:p>
  </w:footnote>
  <w:footnote w:id="179">
    <w:p w14:paraId="240E6738" w14:textId="582E9659"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See</w:t>
      </w:r>
      <w:r w:rsidRPr="00B31D29">
        <w:rPr>
          <w:color w:val="000000" w:themeColor="text1"/>
          <w:sz w:val="20"/>
          <w:szCs w:val="16"/>
        </w:rPr>
        <w:t xml:space="preserve"> </w:t>
      </w:r>
      <w:r w:rsidRPr="00B31D29">
        <w:rPr>
          <w:i/>
          <w:color w:val="000000" w:themeColor="text1"/>
          <w:sz w:val="20"/>
          <w:szCs w:val="16"/>
        </w:rPr>
        <w:t>id.</w:t>
      </w:r>
    </w:p>
  </w:footnote>
  <w:footnote w:id="180">
    <w:p w14:paraId="579A8D29" w14:textId="19B971D8" w:rsidR="00CF426F" w:rsidRPr="00B31D29" w:rsidRDefault="00CF426F" w:rsidP="00637AD3">
      <w:pPr>
        <w:pStyle w:val="FootNote"/>
        <w:widowControl w:val="0"/>
        <w:rPr>
          <w:rFonts w:eastAsia="MS Mincho"/>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BI Intelligence,</w:t>
      </w:r>
      <w:r w:rsidRPr="00B31D29">
        <w:rPr>
          <w:b/>
          <w:color w:val="000000" w:themeColor="text1"/>
          <w:sz w:val="20"/>
          <w:szCs w:val="16"/>
        </w:rPr>
        <w:t xml:space="preserve"> </w:t>
      </w:r>
      <w:r w:rsidRPr="00B31D29">
        <w:rPr>
          <w:rFonts w:eastAsia="MS Mincho"/>
          <w:i/>
          <w:color w:val="000000" w:themeColor="text1"/>
          <w:sz w:val="20"/>
          <w:szCs w:val="16"/>
        </w:rPr>
        <w:t>Spending on Native Advertising Is Soaring as Marketers and Digital Media Publishers Realize the Benefits</w:t>
      </w:r>
      <w:r w:rsidRPr="00B31D29">
        <w:rPr>
          <w:rFonts w:eastAsia="MS Mincho"/>
          <w:color w:val="000000" w:themeColor="text1"/>
          <w:sz w:val="20"/>
          <w:szCs w:val="16"/>
        </w:rPr>
        <w:t xml:space="preserve">, </w:t>
      </w:r>
      <w:r w:rsidRPr="00B31D29">
        <w:rPr>
          <w:rFonts w:eastAsia="MS Mincho"/>
          <w:smallCaps/>
          <w:color w:val="000000" w:themeColor="text1"/>
          <w:sz w:val="20"/>
          <w:szCs w:val="16"/>
        </w:rPr>
        <w:t>Bus. Insider</w:t>
      </w:r>
      <w:r w:rsidRPr="00B31D29">
        <w:rPr>
          <w:rFonts w:eastAsia="MS Mincho"/>
          <w:color w:val="000000" w:themeColor="text1"/>
          <w:sz w:val="20"/>
          <w:szCs w:val="16"/>
        </w:rPr>
        <w:t xml:space="preserve"> (May 20, 2015, 5:04 PM), </w:t>
      </w:r>
      <w:r w:rsidRPr="00B31D29">
        <w:rPr>
          <w:rFonts w:eastAsia="MS Mincho"/>
          <w:color w:val="000000" w:themeColor="text1"/>
          <w:spacing w:val="2"/>
          <w:sz w:val="20"/>
          <w:szCs w:val="16"/>
        </w:rPr>
        <w:t>http://www.businessinsider.com</w:t>
      </w:r>
      <w:r w:rsidRPr="00B31D29">
        <w:rPr>
          <w:rFonts w:eastAsia="MS Mincho"/>
          <w:color w:val="000000" w:themeColor="text1"/>
          <w:sz w:val="20"/>
          <w:szCs w:val="16"/>
        </w:rPr>
        <w:t>/</w:t>
      </w:r>
      <w:r w:rsidRPr="00B31D29">
        <w:rPr>
          <w:rFonts w:eastAsia="MS Mincho"/>
          <w:color w:val="000000" w:themeColor="text1"/>
          <w:spacing w:val="2"/>
          <w:sz w:val="20"/>
          <w:szCs w:val="16"/>
        </w:rPr>
        <w:t>spending-on-native-ads</w:t>
      </w:r>
      <w:r w:rsidRPr="00B31D29">
        <w:rPr>
          <w:rFonts w:eastAsia="MS Mincho"/>
          <w:color w:val="000000" w:themeColor="text1"/>
          <w:sz w:val="20"/>
          <w:szCs w:val="16"/>
        </w:rPr>
        <w:t>-</w:t>
      </w:r>
      <w:r w:rsidRPr="00B31D29">
        <w:rPr>
          <w:rFonts w:eastAsia="MS Mincho"/>
          <w:color w:val="000000" w:themeColor="text1"/>
          <w:spacing w:val="2"/>
          <w:sz w:val="20"/>
          <w:szCs w:val="16"/>
        </w:rPr>
        <w:t>will-soar</w:t>
      </w:r>
      <w:r w:rsidRPr="00B31D29">
        <w:rPr>
          <w:rFonts w:eastAsia="MS Mincho"/>
          <w:color w:val="000000" w:themeColor="text1"/>
          <w:sz w:val="20"/>
          <w:szCs w:val="16"/>
        </w:rPr>
        <w:t xml:space="preserve">-as-publishers-and-advertisers-take-notice-2014-11. </w:t>
      </w:r>
    </w:p>
  </w:footnote>
  <w:footnote w:id="181">
    <w:p w14:paraId="5F26321D" w14:textId="521BB7C8"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smallCaps/>
          <w:color w:val="000000" w:themeColor="text1"/>
          <w:sz w:val="20"/>
          <w:szCs w:val="16"/>
        </w:rPr>
        <w:t>Eleni Marouli &amp; Jack Kent, IHS Tech., The Future of Mobile Advertising Is Native 8</w:t>
      </w:r>
      <w:r w:rsidRPr="00B31D29">
        <w:rPr>
          <w:color w:val="000000" w:themeColor="text1"/>
          <w:sz w:val="20"/>
          <w:szCs w:val="16"/>
        </w:rPr>
        <w:t xml:space="preserve"> (2016), http://mma.nl/wp-content/uploads/2016/05/Future-of-mobile-is-native-1.pdf. </w:t>
      </w:r>
    </w:p>
  </w:footnote>
  <w:footnote w:id="182">
    <w:p w14:paraId="349F15AF" w14:textId="1E344B5C"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See</w:t>
      </w:r>
      <w:r w:rsidRPr="00B31D29">
        <w:rPr>
          <w:color w:val="000000" w:themeColor="text1"/>
          <w:sz w:val="20"/>
          <w:szCs w:val="16"/>
        </w:rPr>
        <w:t xml:space="preserve"> Libby Watson, </w:t>
      </w:r>
      <w:r w:rsidRPr="00B31D29">
        <w:rPr>
          <w:i/>
          <w:color w:val="000000" w:themeColor="text1"/>
          <w:sz w:val="20"/>
          <w:szCs w:val="16"/>
        </w:rPr>
        <w:t>A New Frontier in Opaque Political Ad Spending: GIFs</w:t>
      </w:r>
      <w:r w:rsidRPr="00B31D29">
        <w:rPr>
          <w:color w:val="000000" w:themeColor="text1"/>
          <w:sz w:val="20"/>
          <w:szCs w:val="16"/>
        </w:rPr>
        <w:t xml:space="preserve">, </w:t>
      </w:r>
      <w:r w:rsidRPr="00B31D29">
        <w:rPr>
          <w:smallCaps/>
          <w:color w:val="000000" w:themeColor="text1"/>
          <w:sz w:val="20"/>
          <w:szCs w:val="16"/>
        </w:rPr>
        <w:t xml:space="preserve">Sunlight Found. </w:t>
      </w:r>
      <w:r w:rsidRPr="00B31D29">
        <w:rPr>
          <w:color w:val="000000" w:themeColor="text1"/>
          <w:sz w:val="20"/>
          <w:szCs w:val="16"/>
        </w:rPr>
        <w:t>(Mar. 30, 2016, 11:37 AM), https://sunlightfoundation.com/blog/2016/03/30/a-new-frontier-in-opaque-political-ad-spending-gifs.</w:t>
      </w:r>
    </w:p>
  </w:footnote>
  <w:footnote w:id="183">
    <w:p w14:paraId="560FB310" w14:textId="573BCD48"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 xml:space="preserve">Bernie Sanders, </w:t>
      </w:r>
      <w:r w:rsidRPr="00B31D29">
        <w:rPr>
          <w:i/>
          <w:color w:val="000000" w:themeColor="text1"/>
          <w:sz w:val="20"/>
          <w:szCs w:val="16"/>
        </w:rPr>
        <w:t>We Must End For-Profit Prisons</w:t>
      </w:r>
      <w:r w:rsidRPr="00B31D29">
        <w:rPr>
          <w:color w:val="000000" w:themeColor="text1"/>
          <w:sz w:val="20"/>
          <w:szCs w:val="16"/>
        </w:rPr>
        <w:t xml:space="preserve">, </w:t>
      </w:r>
      <w:r w:rsidRPr="00B31D29">
        <w:rPr>
          <w:smallCaps/>
          <w:color w:val="000000" w:themeColor="text1"/>
          <w:sz w:val="20"/>
          <w:szCs w:val="16"/>
        </w:rPr>
        <w:t>Politico</w:t>
      </w:r>
      <w:r w:rsidRPr="00B31D29">
        <w:rPr>
          <w:color w:val="000000" w:themeColor="text1"/>
          <w:sz w:val="20"/>
          <w:szCs w:val="16"/>
        </w:rPr>
        <w:t xml:space="preserve"> (Feb. 26, 2016, 2:14 PM), http://www.politico.com/sponsor-content/2016/02/we-must-end-for-profit-prisons. </w:t>
      </w:r>
    </w:p>
  </w:footnote>
  <w:footnote w:id="184">
    <w:p w14:paraId="33555A82" w14:textId="58DE4622"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rFonts w:eastAsia="MS Mincho"/>
          <w:color w:val="000000" w:themeColor="text1"/>
          <w:sz w:val="20"/>
          <w:szCs w:val="16"/>
        </w:rPr>
        <w:t xml:space="preserve">Simon Dumenco, </w:t>
      </w:r>
      <w:r w:rsidRPr="00B31D29">
        <w:rPr>
          <w:rFonts w:eastAsia="MS Mincho"/>
          <w:i/>
          <w:color w:val="000000" w:themeColor="text1"/>
          <w:sz w:val="20"/>
          <w:szCs w:val="16"/>
        </w:rPr>
        <w:t>Bernie Sanders Campaign Buys ‘Sponsored Story’ Ad on Politico</w:t>
      </w:r>
      <w:r w:rsidRPr="00B31D29">
        <w:rPr>
          <w:rFonts w:eastAsia="MS Mincho"/>
          <w:color w:val="000000" w:themeColor="text1"/>
          <w:sz w:val="20"/>
          <w:szCs w:val="16"/>
        </w:rPr>
        <w:t xml:space="preserve">, </w:t>
      </w:r>
      <w:r w:rsidRPr="00B31D29">
        <w:rPr>
          <w:rFonts w:eastAsia="MS Mincho"/>
          <w:smallCaps/>
          <w:color w:val="000000" w:themeColor="text1"/>
          <w:sz w:val="20"/>
          <w:szCs w:val="16"/>
        </w:rPr>
        <w:t>Ad Age</w:t>
      </w:r>
      <w:r w:rsidRPr="00B31D29">
        <w:rPr>
          <w:rFonts w:eastAsia="MS Mincho"/>
          <w:color w:val="000000" w:themeColor="text1"/>
          <w:sz w:val="20"/>
          <w:szCs w:val="16"/>
        </w:rPr>
        <w:t xml:space="preserve"> (Feb. 26, 2016), http://adage.com/article/campaign-trail/bernie-sanders-campaign-buys-sponsored-story-politico-ad/302874.</w:t>
      </w:r>
    </w:p>
  </w:footnote>
  <w:footnote w:id="185">
    <w:p w14:paraId="6C7E0411" w14:textId="410E1F04"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See 15 Reasons Bernie Sanders Is the Candidate We’ve Been Waiting For</w:t>
      </w:r>
      <w:r w:rsidRPr="00B31D29">
        <w:rPr>
          <w:color w:val="000000" w:themeColor="text1"/>
          <w:sz w:val="20"/>
          <w:szCs w:val="16"/>
        </w:rPr>
        <w:t xml:space="preserve">, </w:t>
      </w:r>
      <w:r w:rsidRPr="00B31D29">
        <w:rPr>
          <w:smallCaps/>
          <w:color w:val="000000" w:themeColor="text1"/>
          <w:sz w:val="20"/>
          <w:szCs w:val="16"/>
        </w:rPr>
        <w:t>BuzzFeed</w:t>
      </w:r>
      <w:r w:rsidRPr="00B31D29">
        <w:rPr>
          <w:color w:val="000000" w:themeColor="text1"/>
          <w:sz w:val="20"/>
          <w:szCs w:val="16"/>
        </w:rPr>
        <w:t xml:space="preserve"> (Jan. 8, 2016, 11:45 AM), https://www.buzzfeed.com/berniesanders/times-bernie-sanders-gave-us-all-hope.</w:t>
      </w:r>
    </w:p>
  </w:footnote>
  <w:footnote w:id="186">
    <w:p w14:paraId="396EEE05" w14:textId="0FB2D0AC"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See id. </w:t>
      </w:r>
    </w:p>
  </w:footnote>
  <w:footnote w:id="187">
    <w:p w14:paraId="6FAE1ABE" w14:textId="59FC0DEE"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Obama Campaign Buys Ads in 18 Video Games</w:t>
      </w:r>
      <w:r w:rsidRPr="00B31D29">
        <w:rPr>
          <w:color w:val="000000" w:themeColor="text1"/>
          <w:sz w:val="20"/>
          <w:szCs w:val="16"/>
        </w:rPr>
        <w:t xml:space="preserve">, </w:t>
      </w:r>
      <w:r w:rsidRPr="00B31D29">
        <w:rPr>
          <w:smallCaps/>
          <w:color w:val="000000" w:themeColor="text1"/>
          <w:sz w:val="20"/>
          <w:szCs w:val="16"/>
        </w:rPr>
        <w:t>Fox News</w:t>
      </w:r>
      <w:r w:rsidRPr="00B31D29">
        <w:rPr>
          <w:color w:val="000000" w:themeColor="text1"/>
          <w:sz w:val="20"/>
          <w:szCs w:val="16"/>
        </w:rPr>
        <w:t xml:space="preserve"> (Oct. 15, 2008), http://www.foxnews.com/story/2008/10/15/obama-campaign-buys-ads-in-18-video-games.html. </w:t>
      </w:r>
    </w:p>
  </w:footnote>
  <w:footnote w:id="188">
    <w:p w14:paraId="0544DE91" w14:textId="35AF4D30"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w:t>
      </w:r>
    </w:p>
  </w:footnote>
  <w:footnote w:id="189">
    <w:p w14:paraId="3E1B17C0" w14:textId="79BBEB3C"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 xml:space="preserve">Marty Swant, </w:t>
      </w:r>
      <w:r w:rsidRPr="00B31D29">
        <w:rPr>
          <w:i/>
          <w:color w:val="000000" w:themeColor="text1"/>
          <w:sz w:val="20"/>
          <w:szCs w:val="16"/>
        </w:rPr>
        <w:t xml:space="preserve">Zynga Is Now Offering Native Political Gaming Ads for Presidential Campaigns, </w:t>
      </w:r>
      <w:r w:rsidRPr="00B31D29">
        <w:rPr>
          <w:smallCaps/>
          <w:color w:val="000000" w:themeColor="text1"/>
          <w:sz w:val="20"/>
          <w:szCs w:val="16"/>
        </w:rPr>
        <w:t>Adweek</w:t>
      </w:r>
      <w:r w:rsidRPr="00B31D29">
        <w:rPr>
          <w:color w:val="000000" w:themeColor="text1"/>
          <w:sz w:val="20"/>
          <w:szCs w:val="16"/>
        </w:rPr>
        <w:t xml:space="preserve"> (Jan. 7, 2016), http://www.adweek.com/news/technology/zynga-now-offering-native-political-gaming-ads-presidental-campaigns-168894.</w:t>
      </w:r>
    </w:p>
  </w:footnote>
  <w:footnote w:id="190">
    <w:p w14:paraId="306AE7A2" w14:textId="393C4AB8"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w:t>
      </w:r>
    </w:p>
  </w:footnote>
  <w:footnote w:id="191">
    <w:p w14:paraId="10450540" w14:textId="590B3A4D"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w:t>
      </w:r>
    </w:p>
  </w:footnote>
  <w:footnote w:id="192">
    <w:p w14:paraId="42E72218" w14:textId="1EC8846D"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w:t>
      </w:r>
    </w:p>
  </w:footnote>
  <w:footnote w:id="193">
    <w:p w14:paraId="3813D540" w14:textId="0D8D0505"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w:t>
      </w:r>
    </w:p>
  </w:footnote>
  <w:footnote w:id="194">
    <w:p w14:paraId="6BE8CC9E" w14:textId="24FA0FAE"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Let’s Play</w:t>
      </w:r>
      <w:r w:rsidRPr="00B31D29">
        <w:rPr>
          <w:color w:val="000000" w:themeColor="text1"/>
          <w:sz w:val="20"/>
          <w:szCs w:val="16"/>
        </w:rPr>
        <w:t xml:space="preserve">, </w:t>
      </w:r>
      <w:r w:rsidRPr="00B31D29">
        <w:rPr>
          <w:smallCaps/>
          <w:color w:val="000000" w:themeColor="text1"/>
          <w:sz w:val="20"/>
          <w:szCs w:val="16"/>
        </w:rPr>
        <w:t>Zynga</w:t>
      </w:r>
      <w:r w:rsidRPr="00B31D29">
        <w:rPr>
          <w:color w:val="000000" w:themeColor="text1"/>
          <w:sz w:val="20"/>
          <w:szCs w:val="16"/>
        </w:rPr>
        <w:t xml:space="preserve">, https://www.zynga.com/about (last visited Jan. 26, 2018). </w:t>
      </w:r>
    </w:p>
  </w:footnote>
  <w:footnote w:id="195">
    <w:p w14:paraId="5CFEB777" w14:textId="32B0BC1E"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 xml:space="preserve">Swant,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_Ref496705398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188</w:t>
      </w:r>
      <w:r w:rsidRPr="00B31D29">
        <w:rPr>
          <w:color w:val="000000" w:themeColor="text1"/>
          <w:sz w:val="20"/>
          <w:szCs w:val="16"/>
        </w:rPr>
        <w:fldChar w:fldCharType="end"/>
      </w:r>
      <w:r w:rsidRPr="00B31D29">
        <w:rPr>
          <w:color w:val="000000" w:themeColor="text1"/>
          <w:sz w:val="20"/>
          <w:szCs w:val="16"/>
        </w:rPr>
        <w:t xml:space="preserve">. </w:t>
      </w:r>
    </w:p>
  </w:footnote>
  <w:footnote w:id="196">
    <w:p w14:paraId="32D149FD" w14:textId="412D8F9C"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smallCaps/>
          <w:color w:val="000000" w:themeColor="text1"/>
          <w:sz w:val="20"/>
          <w:szCs w:val="16"/>
        </w:rPr>
        <w:t xml:space="preserve">Rubicon Project,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_Ref492481642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174</w:t>
      </w:r>
      <w:r w:rsidRPr="00B31D29">
        <w:rPr>
          <w:color w:val="000000" w:themeColor="text1"/>
          <w:sz w:val="20"/>
          <w:szCs w:val="16"/>
        </w:rPr>
        <w:fldChar w:fldCharType="end"/>
      </w:r>
      <w:r w:rsidRPr="00B31D29">
        <w:rPr>
          <w:color w:val="000000" w:themeColor="text1"/>
          <w:sz w:val="20"/>
          <w:szCs w:val="16"/>
        </w:rPr>
        <w:t xml:space="preserve">, at 2. </w:t>
      </w:r>
    </w:p>
  </w:footnote>
  <w:footnote w:id="197">
    <w:p w14:paraId="22104F1F" w14:textId="0BEB1CCE" w:rsidR="00CF426F" w:rsidRPr="00B31D29" w:rsidRDefault="00CF426F" w:rsidP="00637AD3">
      <w:pPr>
        <w:pStyle w:val="FootNote"/>
        <w:widowControl w:val="0"/>
        <w:rPr>
          <w:rFonts w:eastAsia="MS Mincho"/>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smallCaps/>
          <w:color w:val="000000" w:themeColor="text1"/>
          <w:sz w:val="20"/>
          <w:szCs w:val="16"/>
        </w:rPr>
        <w:t>Interactive Advert. Bureau,</w:t>
      </w:r>
      <w:r w:rsidRPr="00B31D29">
        <w:rPr>
          <w:color w:val="000000" w:themeColor="text1"/>
          <w:sz w:val="20"/>
          <w:szCs w:val="16"/>
        </w:rPr>
        <w:t xml:space="preserve"> </w:t>
      </w:r>
      <w:r w:rsidRPr="00B31D29">
        <w:rPr>
          <w:iCs/>
          <w:smallCaps/>
          <w:color w:val="000000" w:themeColor="text1"/>
          <w:sz w:val="20"/>
          <w:szCs w:val="16"/>
        </w:rPr>
        <w:t xml:space="preserve">Getting In-Feed Sponsored Content Right: The Consumer View 16 </w:t>
      </w:r>
      <w:r w:rsidRPr="00B31D29">
        <w:rPr>
          <w:color w:val="000000" w:themeColor="text1"/>
          <w:sz w:val="20"/>
          <w:szCs w:val="16"/>
        </w:rPr>
        <w:t>(2014), https://www.iab.com/wp-content/uploads/2015/07/IAB_Edelman_</w:t>
      </w:r>
      <w:r w:rsidRPr="00B31D29">
        <w:rPr>
          <w:color w:val="000000" w:themeColor="text1"/>
          <w:sz w:val="20"/>
          <w:szCs w:val="16"/>
        </w:rPr>
        <w:br/>
        <w:t xml:space="preserve">Berland_Study.pdf. </w:t>
      </w:r>
      <w:r w:rsidRPr="00B31D29">
        <w:rPr>
          <w:i/>
          <w:color w:val="000000" w:themeColor="text1"/>
          <w:sz w:val="20"/>
          <w:szCs w:val="16"/>
        </w:rPr>
        <w:t>See also</w:t>
      </w:r>
      <w:r w:rsidRPr="00B31D29">
        <w:rPr>
          <w:color w:val="000000" w:themeColor="text1"/>
          <w:sz w:val="20"/>
          <w:szCs w:val="16"/>
        </w:rPr>
        <w:t xml:space="preserve"> </w:t>
      </w:r>
      <w:r w:rsidRPr="00B31D29">
        <w:rPr>
          <w:rFonts w:eastAsia="MS Mincho"/>
          <w:color w:val="000000" w:themeColor="text1"/>
          <w:sz w:val="20"/>
          <w:szCs w:val="16"/>
        </w:rPr>
        <w:t xml:space="preserve">Sass, </w:t>
      </w:r>
      <w:r w:rsidRPr="00B31D29">
        <w:rPr>
          <w:rFonts w:eastAsia="MS Mincho"/>
          <w:i/>
          <w:color w:val="000000" w:themeColor="text1"/>
          <w:sz w:val="20"/>
          <w:szCs w:val="16"/>
        </w:rPr>
        <w:t xml:space="preserve">supra </w:t>
      </w:r>
      <w:r w:rsidRPr="00B31D29">
        <w:rPr>
          <w:rFonts w:eastAsia="MS Mincho"/>
          <w:color w:val="000000" w:themeColor="text1"/>
          <w:sz w:val="20"/>
          <w:szCs w:val="16"/>
        </w:rPr>
        <w:t xml:space="preserve">note </w:t>
      </w:r>
      <w:r w:rsidRPr="00B31D29">
        <w:rPr>
          <w:rFonts w:eastAsia="MS Mincho"/>
          <w:color w:val="000000" w:themeColor="text1"/>
          <w:sz w:val="20"/>
          <w:szCs w:val="16"/>
        </w:rPr>
        <w:fldChar w:fldCharType="begin"/>
      </w:r>
      <w:r w:rsidRPr="00B31D29">
        <w:rPr>
          <w:rFonts w:eastAsia="MS Mincho"/>
          <w:color w:val="000000" w:themeColor="text1"/>
          <w:sz w:val="20"/>
          <w:szCs w:val="16"/>
        </w:rPr>
        <w:instrText xml:space="preserve"> NOTEREF _Ref492481643 \h </w:instrText>
      </w:r>
      <w:r w:rsidRPr="00B31D29">
        <w:rPr>
          <w:rFonts w:eastAsia="MS Mincho"/>
          <w:color w:val="000000" w:themeColor="text1"/>
          <w:sz w:val="20"/>
          <w:szCs w:val="16"/>
        </w:rPr>
      </w:r>
      <w:r w:rsidR="00B31D29" w:rsidRPr="00B31D29">
        <w:rPr>
          <w:rFonts w:eastAsia="MS Mincho"/>
          <w:color w:val="000000" w:themeColor="text1"/>
          <w:sz w:val="20"/>
          <w:szCs w:val="16"/>
        </w:rPr>
        <w:instrText xml:space="preserve"> \* MERGEFORMAT </w:instrText>
      </w:r>
      <w:r w:rsidRPr="00B31D29">
        <w:rPr>
          <w:rFonts w:eastAsia="MS Mincho"/>
          <w:color w:val="000000" w:themeColor="text1"/>
          <w:sz w:val="20"/>
          <w:szCs w:val="16"/>
        </w:rPr>
        <w:fldChar w:fldCharType="separate"/>
      </w:r>
      <w:r w:rsidR="00203FC5" w:rsidRPr="00B31D29">
        <w:rPr>
          <w:rFonts w:eastAsia="MS Mincho"/>
          <w:color w:val="000000" w:themeColor="text1"/>
          <w:sz w:val="20"/>
          <w:szCs w:val="16"/>
        </w:rPr>
        <w:t>2</w:t>
      </w:r>
      <w:r w:rsidRPr="00B31D29">
        <w:rPr>
          <w:rFonts w:eastAsia="MS Mincho"/>
          <w:color w:val="000000" w:themeColor="text1"/>
          <w:sz w:val="20"/>
          <w:szCs w:val="16"/>
        </w:rPr>
        <w:fldChar w:fldCharType="end"/>
      </w:r>
      <w:r w:rsidRPr="00B31D29">
        <w:rPr>
          <w:color w:val="000000" w:themeColor="text1"/>
          <w:sz w:val="20"/>
          <w:szCs w:val="16"/>
        </w:rPr>
        <w:t xml:space="preserve">. </w:t>
      </w:r>
    </w:p>
  </w:footnote>
  <w:footnote w:id="198">
    <w:p w14:paraId="66B8146D" w14:textId="55BCC91A"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rFonts w:eastAsia="MS Mincho"/>
          <w:color w:val="000000" w:themeColor="text1"/>
          <w:sz w:val="20"/>
          <w:szCs w:val="16"/>
        </w:rPr>
        <w:t xml:space="preserve">Lazauskas, </w:t>
      </w:r>
      <w:r w:rsidRPr="00B31D29">
        <w:rPr>
          <w:rFonts w:eastAsia="MS Mincho"/>
          <w:i/>
          <w:color w:val="000000" w:themeColor="text1"/>
          <w:sz w:val="20"/>
          <w:szCs w:val="16"/>
        </w:rPr>
        <w:t xml:space="preserve">supra </w:t>
      </w:r>
      <w:r w:rsidRPr="00B31D29">
        <w:rPr>
          <w:rFonts w:eastAsia="MS Mincho"/>
          <w:color w:val="000000" w:themeColor="text1"/>
          <w:sz w:val="20"/>
          <w:szCs w:val="16"/>
        </w:rPr>
        <w:t xml:space="preserve">note </w:t>
      </w:r>
      <w:r w:rsidRPr="00B31D29">
        <w:rPr>
          <w:rFonts w:eastAsia="MS Mincho"/>
          <w:color w:val="000000" w:themeColor="text1"/>
          <w:sz w:val="20"/>
          <w:szCs w:val="16"/>
        </w:rPr>
        <w:fldChar w:fldCharType="begin"/>
      </w:r>
      <w:r w:rsidRPr="00B31D29">
        <w:rPr>
          <w:rFonts w:eastAsia="MS Mincho"/>
          <w:color w:val="000000" w:themeColor="text1"/>
          <w:sz w:val="20"/>
          <w:szCs w:val="16"/>
        </w:rPr>
        <w:instrText xml:space="preserve"> NOTEREF _Ref492481643 \h </w:instrText>
      </w:r>
      <w:r w:rsidRPr="00B31D29">
        <w:rPr>
          <w:rFonts w:eastAsia="MS Mincho"/>
          <w:color w:val="000000" w:themeColor="text1"/>
          <w:sz w:val="20"/>
          <w:szCs w:val="16"/>
        </w:rPr>
      </w:r>
      <w:r w:rsidR="00B31D29" w:rsidRPr="00B31D29">
        <w:rPr>
          <w:rFonts w:eastAsia="MS Mincho"/>
          <w:color w:val="000000" w:themeColor="text1"/>
          <w:sz w:val="20"/>
          <w:szCs w:val="16"/>
        </w:rPr>
        <w:instrText xml:space="preserve"> \* MERGEFORMAT </w:instrText>
      </w:r>
      <w:r w:rsidRPr="00B31D29">
        <w:rPr>
          <w:rFonts w:eastAsia="MS Mincho"/>
          <w:color w:val="000000" w:themeColor="text1"/>
          <w:sz w:val="20"/>
          <w:szCs w:val="16"/>
        </w:rPr>
        <w:fldChar w:fldCharType="separate"/>
      </w:r>
      <w:r w:rsidR="00203FC5" w:rsidRPr="00B31D29">
        <w:rPr>
          <w:rFonts w:eastAsia="MS Mincho"/>
          <w:color w:val="000000" w:themeColor="text1"/>
          <w:sz w:val="20"/>
          <w:szCs w:val="16"/>
        </w:rPr>
        <w:t>2</w:t>
      </w:r>
      <w:r w:rsidRPr="00B31D29">
        <w:rPr>
          <w:rFonts w:eastAsia="MS Mincho"/>
          <w:color w:val="000000" w:themeColor="text1"/>
          <w:sz w:val="20"/>
          <w:szCs w:val="16"/>
        </w:rPr>
        <w:fldChar w:fldCharType="end"/>
      </w:r>
      <w:r w:rsidRPr="00B31D29">
        <w:rPr>
          <w:rFonts w:eastAsia="MS Mincho"/>
          <w:color w:val="000000" w:themeColor="text1"/>
          <w:sz w:val="20"/>
          <w:szCs w:val="16"/>
        </w:rPr>
        <w:t xml:space="preserve">. </w:t>
      </w:r>
    </w:p>
  </w:footnote>
  <w:footnote w:id="199">
    <w:p w14:paraId="47EB4896" w14:textId="78586F00" w:rsidR="00CF426F" w:rsidRPr="00B31D29" w:rsidRDefault="00CF426F" w:rsidP="00637AD3">
      <w:pPr>
        <w:pStyle w:val="FootNote"/>
        <w:widowControl w:val="0"/>
        <w:rPr>
          <w:smallCaps/>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See Truth in Advertising</w:t>
      </w:r>
      <w:r w:rsidRPr="00B31D29">
        <w:rPr>
          <w:smallCaps/>
          <w:color w:val="000000" w:themeColor="text1"/>
          <w:sz w:val="20"/>
          <w:szCs w:val="16"/>
        </w:rPr>
        <w:t xml:space="preserve">, Fed. Trade Commission, </w:t>
      </w:r>
      <w:r w:rsidRPr="00B31D29">
        <w:rPr>
          <w:color w:val="000000" w:themeColor="text1"/>
          <w:sz w:val="20"/>
          <w:szCs w:val="16"/>
        </w:rPr>
        <w:t>https://www.ftc.gov/news-events/media-resources/truth-advertising (last visited Jan. 26, 2018).</w:t>
      </w:r>
    </w:p>
  </w:footnote>
  <w:footnote w:id="200">
    <w:p w14:paraId="284C75D0" w14:textId="73F391DC"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smallCaps/>
          <w:color w:val="000000" w:themeColor="text1"/>
          <w:sz w:val="20"/>
          <w:szCs w:val="16"/>
        </w:rPr>
        <w:t xml:space="preserve">FTC, Enforcement Policy Statement on Deceptively Formatted Advertisements </w:t>
      </w:r>
      <w:r w:rsidRPr="00B31D29">
        <w:rPr>
          <w:smallCaps/>
          <w:color w:val="000000" w:themeColor="text1"/>
          <w:spacing w:val="10"/>
          <w:sz w:val="20"/>
          <w:szCs w:val="16"/>
        </w:rPr>
        <w:t>16 (2015</w:t>
      </w:r>
      <w:r w:rsidRPr="00B31D29">
        <w:rPr>
          <w:color w:val="000000" w:themeColor="text1"/>
          <w:spacing w:val="10"/>
          <w:sz w:val="20"/>
          <w:szCs w:val="16"/>
        </w:rPr>
        <w:t>), https://www.ftc.gov/system/files/documents/public_statements/896923/</w:t>
      </w:r>
      <w:r w:rsidRPr="00B31D29">
        <w:rPr>
          <w:color w:val="000000" w:themeColor="text1"/>
          <w:sz w:val="20"/>
          <w:szCs w:val="16"/>
        </w:rPr>
        <w:br/>
        <w:t>151222deceptiveenforcement.pdf.</w:t>
      </w:r>
    </w:p>
  </w:footnote>
  <w:footnote w:id="201">
    <w:p w14:paraId="185085CE" w14:textId="622FA4AC"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Id. </w:t>
      </w:r>
      <w:r w:rsidRPr="00B31D29">
        <w:rPr>
          <w:color w:val="000000" w:themeColor="text1"/>
          <w:sz w:val="20"/>
          <w:szCs w:val="16"/>
        </w:rPr>
        <w:t>at 11.</w:t>
      </w:r>
    </w:p>
  </w:footnote>
  <w:footnote w:id="202">
    <w:p w14:paraId="6429F01F" w14:textId="57623786"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at 13.</w:t>
      </w:r>
    </w:p>
  </w:footnote>
  <w:footnote w:id="203">
    <w:p w14:paraId="37EDCF9F" w14:textId="607F11AF"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Id. </w:t>
      </w:r>
      <w:r w:rsidRPr="00B31D29">
        <w:rPr>
          <w:color w:val="000000" w:themeColor="text1"/>
          <w:sz w:val="20"/>
          <w:szCs w:val="16"/>
        </w:rPr>
        <w:t>at 2–3, 13.</w:t>
      </w:r>
    </w:p>
  </w:footnote>
  <w:footnote w:id="204">
    <w:p w14:paraId="6C557C8A" w14:textId="320DBC8C" w:rsidR="00CF426F" w:rsidRPr="00B31D29" w:rsidRDefault="00CF426F" w:rsidP="00F43002">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Native Advertising Added to BBB Code of Advertising; Deceptive Native Ads Now Violate Code</w:t>
      </w:r>
      <w:r w:rsidRPr="00B31D29">
        <w:rPr>
          <w:color w:val="000000" w:themeColor="text1"/>
          <w:sz w:val="20"/>
          <w:szCs w:val="16"/>
        </w:rPr>
        <w:t xml:space="preserve">, </w:t>
      </w:r>
      <w:r w:rsidRPr="00B31D29">
        <w:rPr>
          <w:smallCaps/>
          <w:color w:val="000000" w:themeColor="text1"/>
          <w:sz w:val="20"/>
          <w:szCs w:val="16"/>
        </w:rPr>
        <w:t>Better Bus. Bureau</w:t>
      </w:r>
      <w:r w:rsidRPr="00B31D29">
        <w:rPr>
          <w:color w:val="000000" w:themeColor="text1"/>
          <w:sz w:val="20"/>
          <w:szCs w:val="16"/>
        </w:rPr>
        <w:t xml:space="preserve"> (Oct. 25, 2016), https://www.bbb.org/native-advertising-added-to-bbb-code-of-advertising.</w:t>
      </w:r>
    </w:p>
  </w:footnote>
  <w:footnote w:id="205">
    <w:p w14:paraId="406BEF1C" w14:textId="043141D1"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w:t>
      </w:r>
    </w:p>
  </w:footnote>
  <w:footnote w:id="206">
    <w:p w14:paraId="07C0D712" w14:textId="2833AA18"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Amy Sullivan,</w:t>
      </w:r>
      <w:r w:rsidRPr="00B31D29">
        <w:rPr>
          <w:i/>
          <w:color w:val="000000" w:themeColor="text1"/>
          <w:sz w:val="20"/>
          <w:szCs w:val="16"/>
        </w:rPr>
        <w:t xml:space="preserve"> Truth in Advertising? Not for Political Ads</w:t>
      </w:r>
      <w:r w:rsidRPr="00B31D29">
        <w:rPr>
          <w:color w:val="000000" w:themeColor="text1"/>
          <w:sz w:val="20"/>
          <w:szCs w:val="16"/>
        </w:rPr>
        <w:t xml:space="preserve">, </w:t>
      </w:r>
      <w:r w:rsidRPr="00B31D29">
        <w:rPr>
          <w:smallCaps/>
          <w:color w:val="000000" w:themeColor="text1"/>
          <w:sz w:val="20"/>
          <w:szCs w:val="16"/>
        </w:rPr>
        <w:t>Time</w:t>
      </w:r>
      <w:r w:rsidRPr="00B31D29">
        <w:rPr>
          <w:color w:val="000000" w:themeColor="text1"/>
          <w:sz w:val="20"/>
          <w:szCs w:val="16"/>
        </w:rPr>
        <w:t xml:space="preserve"> (Sept. 23, 2008), </w:t>
      </w:r>
      <w:r w:rsidRPr="00B31D29">
        <w:rPr>
          <w:color w:val="000000" w:themeColor="text1"/>
          <w:sz w:val="20"/>
        </w:rPr>
        <w:t>http://content.time.com/time/politics/article/0,8599,1843796,00.html.</w:t>
      </w:r>
    </w:p>
  </w:footnote>
  <w:footnote w:id="207">
    <w:p w14:paraId="0C079579" w14:textId="61111F93"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See id.</w:t>
      </w:r>
      <w:r w:rsidRPr="00B31D29">
        <w:rPr>
          <w:color w:val="000000" w:themeColor="text1"/>
          <w:sz w:val="20"/>
          <w:szCs w:val="16"/>
        </w:rPr>
        <w:t xml:space="preserve"> </w:t>
      </w:r>
    </w:p>
  </w:footnote>
  <w:footnote w:id="208">
    <w:p w14:paraId="19FE04D2" w14:textId="467BC21D"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The situation</w:t>
      </w:r>
      <w:r w:rsidRPr="00B31D29">
        <w:rPr>
          <w:color w:val="000000" w:themeColor="text1"/>
          <w:sz w:val="20"/>
        </w:rPr>
        <w:t xml:space="preserve"> becomes even murkier if native ads are purchased by non-profit groups, as such organizations are not required to report the source of their funding to the FEC. However, a full discussion of such “dark money” groups is beyond the scope of this paper. </w:t>
      </w:r>
      <w:r w:rsidRPr="00B31D29">
        <w:rPr>
          <w:i/>
          <w:color w:val="000000" w:themeColor="text1"/>
          <w:sz w:val="20"/>
          <w:szCs w:val="16"/>
        </w:rPr>
        <w:t>See</w:t>
      </w:r>
      <w:r w:rsidRPr="00B31D29">
        <w:rPr>
          <w:color w:val="000000" w:themeColor="text1"/>
          <w:sz w:val="20"/>
          <w:szCs w:val="16"/>
        </w:rPr>
        <w:t xml:space="preserve"> </w:t>
      </w:r>
      <w:r w:rsidRPr="00B31D29">
        <w:rPr>
          <w:i/>
          <w:color w:val="000000" w:themeColor="text1"/>
          <w:sz w:val="20"/>
          <w:szCs w:val="16"/>
        </w:rPr>
        <w:t>Dark Money Basics</w:t>
      </w:r>
      <w:r w:rsidRPr="00B31D29">
        <w:rPr>
          <w:color w:val="000000" w:themeColor="text1"/>
          <w:sz w:val="20"/>
          <w:szCs w:val="16"/>
        </w:rPr>
        <w:t xml:space="preserve">, </w:t>
      </w:r>
      <w:r w:rsidRPr="00B31D29">
        <w:rPr>
          <w:smallCaps/>
          <w:color w:val="000000" w:themeColor="text1"/>
          <w:sz w:val="20"/>
          <w:szCs w:val="16"/>
        </w:rPr>
        <w:t>OpenSecrets</w:t>
      </w:r>
      <w:r w:rsidRPr="00B31D29">
        <w:rPr>
          <w:color w:val="000000" w:themeColor="text1"/>
          <w:sz w:val="20"/>
          <w:szCs w:val="16"/>
        </w:rPr>
        <w:t xml:space="preserve">, </w:t>
      </w:r>
      <w:r w:rsidRPr="00B31D29">
        <w:rPr>
          <w:color w:val="000000" w:themeColor="text1"/>
          <w:sz w:val="20"/>
        </w:rPr>
        <w:t>https://www.opensecrets.org/dark-money/basics</w:t>
      </w:r>
      <w:r w:rsidRPr="00B31D29">
        <w:rPr>
          <w:color w:val="000000" w:themeColor="text1"/>
          <w:sz w:val="20"/>
          <w:szCs w:val="16"/>
        </w:rPr>
        <w:t xml:space="preserve"> (last visited Jan. 26, 2018). </w:t>
      </w:r>
      <w:r w:rsidRPr="00B31D29">
        <w:rPr>
          <w:i/>
          <w:color w:val="000000" w:themeColor="text1"/>
          <w:sz w:val="20"/>
        </w:rPr>
        <w:t>See generally</w:t>
      </w:r>
      <w:r w:rsidRPr="00B31D29">
        <w:rPr>
          <w:color w:val="000000" w:themeColor="text1"/>
          <w:sz w:val="20"/>
        </w:rPr>
        <w:t xml:space="preserve"> </w:t>
      </w:r>
      <w:r w:rsidRPr="00B31D29">
        <w:rPr>
          <w:color w:val="000000" w:themeColor="text1"/>
          <w:sz w:val="20"/>
          <w:szCs w:val="16"/>
        </w:rPr>
        <w:t xml:space="preserve">Spencer &amp; Wood,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_Ref492481631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49</w:t>
      </w:r>
      <w:r w:rsidRPr="00B31D29">
        <w:rPr>
          <w:color w:val="000000" w:themeColor="text1"/>
          <w:sz w:val="20"/>
          <w:szCs w:val="16"/>
        </w:rPr>
        <w:fldChar w:fldCharType="end"/>
      </w:r>
      <w:r w:rsidRPr="00B31D29">
        <w:rPr>
          <w:color w:val="000000" w:themeColor="text1"/>
          <w:sz w:val="20"/>
          <w:szCs w:val="16"/>
        </w:rPr>
        <w:t xml:space="preserve"> (using experimental data to show that spending by donor-disclosure-exempt non-profit organizations has increased in the wake of </w:t>
      </w:r>
      <w:r w:rsidRPr="00B31D29">
        <w:rPr>
          <w:i/>
          <w:color w:val="000000" w:themeColor="text1"/>
          <w:sz w:val="20"/>
          <w:szCs w:val="16"/>
        </w:rPr>
        <w:t>Citizens United</w:t>
      </w:r>
      <w:r w:rsidRPr="00B31D29">
        <w:rPr>
          <w:color w:val="000000" w:themeColor="text1"/>
          <w:sz w:val="20"/>
          <w:szCs w:val="16"/>
        </w:rPr>
        <w:t xml:space="preserve">). </w:t>
      </w:r>
    </w:p>
  </w:footnote>
  <w:footnote w:id="209">
    <w:p w14:paraId="7842DB80" w14:textId="7CE0F781" w:rsidR="00CF426F" w:rsidRPr="00B31D29" w:rsidRDefault="00CF426F" w:rsidP="00B272AC">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See</w:t>
      </w:r>
      <w:r w:rsidRPr="00B31D29">
        <w:rPr>
          <w:color w:val="000000" w:themeColor="text1"/>
          <w:sz w:val="20"/>
          <w:szCs w:val="16"/>
        </w:rPr>
        <w:t xml:space="preserve"> Becky Kip, </w:t>
      </w:r>
      <w:r w:rsidRPr="00B31D29">
        <w:rPr>
          <w:i/>
          <w:color w:val="000000" w:themeColor="text1"/>
          <w:sz w:val="20"/>
          <w:szCs w:val="16"/>
        </w:rPr>
        <w:t>Are Native Ads the Key to Engaging Millennials in Political Movements?</w:t>
      </w:r>
      <w:r w:rsidRPr="00B31D29">
        <w:rPr>
          <w:color w:val="000000" w:themeColor="text1"/>
          <w:sz w:val="20"/>
          <w:szCs w:val="16"/>
        </w:rPr>
        <w:t xml:space="preserve">, </w:t>
      </w:r>
      <w:r w:rsidRPr="00B31D29">
        <w:rPr>
          <w:smallCaps/>
          <w:color w:val="000000" w:themeColor="text1"/>
          <w:sz w:val="20"/>
          <w:szCs w:val="16"/>
        </w:rPr>
        <w:t>Hill</w:t>
      </w:r>
      <w:r w:rsidRPr="00B31D29">
        <w:rPr>
          <w:color w:val="000000" w:themeColor="text1"/>
          <w:sz w:val="20"/>
          <w:szCs w:val="16"/>
        </w:rPr>
        <w:t xml:space="preserve"> (Sept. 27, 2016, 11:35 AM), http://thehill.com/blogs/pundits-blog/presidential-campaign/298028-are-native-ads-the-key-to-engaging-millennials-in. </w:t>
      </w:r>
    </w:p>
  </w:footnote>
  <w:footnote w:id="210">
    <w:p w14:paraId="5360F556" w14:textId="14D299F2" w:rsidR="00CF426F" w:rsidRPr="00B31D29" w:rsidRDefault="00CF426F" w:rsidP="00BA13DF">
      <w:pPr>
        <w:pStyle w:val="FootNotePara"/>
        <w:ind w:firstLine="0"/>
        <w:rPr>
          <w:color w:val="000000" w:themeColor="text1"/>
          <w:sz w:val="20"/>
        </w:rPr>
      </w:pPr>
      <w:r w:rsidRPr="00B31D29">
        <w:rPr>
          <w:color w:val="000000" w:themeColor="text1"/>
          <w:sz w:val="20"/>
        </w:rPr>
        <w:tab/>
      </w:r>
      <w:r w:rsidRPr="00B31D29">
        <w:rPr>
          <w:rStyle w:val="FootnoteReference"/>
          <w:color w:val="000000" w:themeColor="text1"/>
          <w:sz w:val="20"/>
          <w:vertAlign w:val="baseline"/>
        </w:rPr>
        <w:footnoteRef/>
      </w:r>
      <w:r w:rsidRPr="00B31D29">
        <w:rPr>
          <w:color w:val="000000" w:themeColor="text1"/>
          <w:sz w:val="20"/>
        </w:rPr>
        <w:t>.</w:t>
      </w:r>
      <w:r w:rsidRPr="00B31D29">
        <w:rPr>
          <w:color w:val="000000" w:themeColor="text1"/>
          <w:sz w:val="20"/>
        </w:rPr>
        <w:tab/>
      </w:r>
      <w:r w:rsidRPr="00B31D29">
        <w:rPr>
          <w:i/>
          <w:color w:val="000000" w:themeColor="text1"/>
          <w:sz w:val="20"/>
        </w:rPr>
        <w:t>See, e.g.</w:t>
      </w:r>
      <w:r w:rsidRPr="00B31D29">
        <w:rPr>
          <w:color w:val="000000" w:themeColor="text1"/>
          <w:sz w:val="20"/>
        </w:rPr>
        <w:t xml:space="preserve">, </w:t>
      </w:r>
      <w:r w:rsidRPr="00B31D29">
        <w:rPr>
          <w:color w:val="000000" w:themeColor="text1"/>
          <w:sz w:val="20"/>
          <w:szCs w:val="16"/>
        </w:rPr>
        <w:t>Letter from Joseph E. Sandler et al.,</w:t>
      </w:r>
      <w:r w:rsidRPr="00B31D29">
        <w:rPr>
          <w:color w:val="000000" w:themeColor="text1"/>
          <w:sz w:val="20"/>
        </w:rPr>
        <w:t xml:space="preserve"> </w:t>
      </w:r>
      <w:r w:rsidRPr="00B31D29">
        <w:rPr>
          <w:i/>
          <w:color w:val="000000" w:themeColor="text1"/>
          <w:sz w:val="20"/>
        </w:rPr>
        <w:t xml:space="preserve">supra </w:t>
      </w:r>
      <w:r w:rsidRPr="00B31D29">
        <w:rPr>
          <w:color w:val="000000" w:themeColor="text1"/>
          <w:sz w:val="20"/>
        </w:rPr>
        <w:t xml:space="preserve">note </w:t>
      </w:r>
      <w:r w:rsidRPr="00B31D29">
        <w:rPr>
          <w:color w:val="000000" w:themeColor="text1"/>
          <w:sz w:val="20"/>
        </w:rPr>
        <w:fldChar w:fldCharType="begin"/>
      </w:r>
      <w:r w:rsidRPr="00B31D29">
        <w:rPr>
          <w:color w:val="000000" w:themeColor="text1"/>
          <w:sz w:val="20"/>
        </w:rPr>
        <w:instrText xml:space="preserve"> NOTEREF _Ref504759047 \h </w:instrText>
      </w:r>
      <w:r w:rsidRPr="00B31D29">
        <w:rPr>
          <w:color w:val="000000" w:themeColor="text1"/>
          <w:sz w:val="20"/>
        </w:rPr>
      </w:r>
      <w:r w:rsidR="00B31D29" w:rsidRPr="00B31D29">
        <w:rPr>
          <w:color w:val="000000" w:themeColor="text1"/>
          <w:sz w:val="20"/>
        </w:rPr>
        <w:instrText xml:space="preserve"> \* MERGEFORMAT </w:instrText>
      </w:r>
      <w:r w:rsidRPr="00B31D29">
        <w:rPr>
          <w:color w:val="000000" w:themeColor="text1"/>
          <w:sz w:val="20"/>
        </w:rPr>
        <w:fldChar w:fldCharType="separate"/>
      </w:r>
      <w:r w:rsidR="00203FC5" w:rsidRPr="00B31D29">
        <w:rPr>
          <w:color w:val="000000" w:themeColor="text1"/>
          <w:sz w:val="20"/>
        </w:rPr>
        <w:t>151</w:t>
      </w:r>
      <w:r w:rsidRPr="00B31D29">
        <w:rPr>
          <w:color w:val="000000" w:themeColor="text1"/>
          <w:sz w:val="20"/>
        </w:rPr>
        <w:fldChar w:fldCharType="end"/>
      </w:r>
      <w:r w:rsidRPr="00B31D29">
        <w:rPr>
          <w:color w:val="000000" w:themeColor="text1"/>
          <w:sz w:val="20"/>
        </w:rPr>
        <w:t>, at 1.</w:t>
      </w:r>
    </w:p>
  </w:footnote>
  <w:footnote w:id="211">
    <w:p w14:paraId="79CB6808" w14:textId="6E68905C"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See, e.g.</w:t>
      </w:r>
      <w:r w:rsidRPr="00B31D29">
        <w:rPr>
          <w:color w:val="000000" w:themeColor="text1"/>
          <w:sz w:val="20"/>
          <w:szCs w:val="16"/>
        </w:rPr>
        <w:t xml:space="preserve">, Persily,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_Ref496705452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170</w:t>
      </w:r>
      <w:r w:rsidRPr="00B31D29">
        <w:rPr>
          <w:color w:val="000000" w:themeColor="text1"/>
          <w:sz w:val="20"/>
          <w:szCs w:val="16"/>
        </w:rPr>
        <w:fldChar w:fldCharType="end"/>
      </w:r>
      <w:r w:rsidRPr="00B31D29">
        <w:rPr>
          <w:color w:val="000000" w:themeColor="text1"/>
          <w:sz w:val="20"/>
          <w:szCs w:val="16"/>
        </w:rPr>
        <w:t xml:space="preserve">. </w:t>
      </w:r>
    </w:p>
  </w:footnote>
  <w:footnote w:id="212">
    <w:p w14:paraId="0B62EAB4" w14:textId="6299DF65"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w:t>
      </w:r>
    </w:p>
  </w:footnote>
  <w:footnote w:id="213">
    <w:p w14:paraId="6CD2AF2A" w14:textId="441C0E24"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w:t>
      </w:r>
    </w:p>
  </w:footnote>
  <w:footnote w:id="214">
    <w:p w14:paraId="6996CBCD" w14:textId="74A3DAA5"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w:t>
      </w:r>
      <w:r w:rsidRPr="00B31D29">
        <w:rPr>
          <w:i/>
          <w:color w:val="000000" w:themeColor="text1"/>
          <w:sz w:val="20"/>
          <w:szCs w:val="16"/>
        </w:rPr>
        <w:t>See also</w:t>
      </w:r>
      <w:r w:rsidRPr="00B31D29">
        <w:rPr>
          <w:color w:val="000000" w:themeColor="text1"/>
          <w:sz w:val="20"/>
          <w:szCs w:val="16"/>
        </w:rPr>
        <w:t xml:space="preserve"> Nathaniel Persily, </w:t>
      </w:r>
      <w:r w:rsidRPr="00B31D29">
        <w:rPr>
          <w:i/>
          <w:color w:val="000000" w:themeColor="text1"/>
          <w:sz w:val="20"/>
          <w:szCs w:val="16"/>
        </w:rPr>
        <w:t>Facebook May Soon Have More Power over Elections than the FEC. Are We Ready?</w:t>
      </w:r>
      <w:r w:rsidRPr="00B31D29">
        <w:rPr>
          <w:color w:val="000000" w:themeColor="text1"/>
          <w:sz w:val="20"/>
          <w:szCs w:val="16"/>
        </w:rPr>
        <w:t xml:space="preserve">, </w:t>
      </w:r>
      <w:r w:rsidRPr="00B31D29">
        <w:rPr>
          <w:smallCaps/>
          <w:color w:val="000000" w:themeColor="text1"/>
          <w:sz w:val="20"/>
          <w:szCs w:val="16"/>
        </w:rPr>
        <w:t>Wash. Post</w:t>
      </w:r>
      <w:r w:rsidRPr="00B31D29">
        <w:rPr>
          <w:color w:val="000000" w:themeColor="text1"/>
          <w:sz w:val="20"/>
          <w:szCs w:val="16"/>
        </w:rPr>
        <w:t xml:space="preserve"> (Aug. 10, 2016), http://wapo.st/2b3yWuH (arguing that the question is not whether social media platforms will regulate political ads, but whether they should treat such ads differently than other forms of advertising). </w:t>
      </w:r>
    </w:p>
  </w:footnote>
  <w:footnote w:id="215">
    <w:p w14:paraId="591566E4" w14:textId="3C770325"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 xml:space="preserve">Persily,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_Ref496705452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170</w:t>
      </w:r>
      <w:r w:rsidRPr="00B31D29">
        <w:rPr>
          <w:color w:val="000000" w:themeColor="text1"/>
          <w:sz w:val="20"/>
          <w:szCs w:val="16"/>
        </w:rPr>
        <w:fldChar w:fldCharType="end"/>
      </w:r>
      <w:r w:rsidRPr="00B31D29">
        <w:rPr>
          <w:color w:val="000000" w:themeColor="text1"/>
          <w:sz w:val="20"/>
          <w:szCs w:val="16"/>
        </w:rPr>
        <w:t>.</w:t>
      </w:r>
      <w:r w:rsidRPr="00B31D29">
        <w:rPr>
          <w:i/>
          <w:color w:val="000000" w:themeColor="text1"/>
          <w:sz w:val="20"/>
          <w:szCs w:val="16"/>
        </w:rPr>
        <w:t xml:space="preserve"> </w:t>
      </w:r>
    </w:p>
  </w:footnote>
  <w:footnote w:id="216">
    <w:p w14:paraId="2519167E" w14:textId="3AFBC255"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w:t>
      </w:r>
    </w:p>
  </w:footnote>
  <w:footnote w:id="217">
    <w:p w14:paraId="2AF54EF7" w14:textId="67C15EA4" w:rsidR="00CF426F" w:rsidRPr="00B31D29" w:rsidRDefault="00CF426F" w:rsidP="00C456AD">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 xml:space="preserve">After it became known that foreign meddlers had purchased political ads during the 2016 election, Facebook and other social media platforms announced plans to increase transparency for political advertising. </w:t>
      </w:r>
      <w:r w:rsidRPr="00B31D29">
        <w:rPr>
          <w:i/>
          <w:color w:val="000000" w:themeColor="text1"/>
          <w:sz w:val="20"/>
          <w:szCs w:val="16"/>
        </w:rPr>
        <w:t>See, e.g.</w:t>
      </w:r>
      <w:r w:rsidRPr="00B31D29">
        <w:rPr>
          <w:color w:val="000000" w:themeColor="text1"/>
          <w:sz w:val="20"/>
          <w:szCs w:val="16"/>
        </w:rPr>
        <w:t xml:space="preserve">, Tony Romm &amp; Kurt Wagner, </w:t>
      </w:r>
      <w:r w:rsidRPr="00B31D29">
        <w:rPr>
          <w:i/>
          <w:color w:val="000000" w:themeColor="text1"/>
          <w:sz w:val="20"/>
          <w:szCs w:val="16"/>
        </w:rPr>
        <w:t>Facebook Is Taking a Stricter Stance on Political Advertising Ahead of Its Testimony to the U.S. Congress Next Week</w:t>
      </w:r>
      <w:r w:rsidRPr="00B31D29">
        <w:rPr>
          <w:color w:val="000000" w:themeColor="text1"/>
          <w:sz w:val="20"/>
          <w:szCs w:val="16"/>
        </w:rPr>
        <w:t xml:space="preserve">, </w:t>
      </w:r>
      <w:r w:rsidRPr="00B31D29">
        <w:rPr>
          <w:smallCaps/>
          <w:color w:val="000000" w:themeColor="text1"/>
          <w:sz w:val="20"/>
          <w:szCs w:val="16"/>
        </w:rPr>
        <w:t>Recode</w:t>
      </w:r>
      <w:r w:rsidRPr="00B31D29">
        <w:rPr>
          <w:color w:val="000000" w:themeColor="text1"/>
          <w:sz w:val="20"/>
          <w:szCs w:val="16"/>
        </w:rPr>
        <w:t xml:space="preserve"> (Oct. 27, 2017, 1:00 PM), </w:t>
      </w:r>
      <w:r w:rsidRPr="00B31D29">
        <w:rPr>
          <w:color w:val="000000" w:themeColor="text1"/>
          <w:spacing w:val="-2"/>
          <w:sz w:val="20"/>
        </w:rPr>
        <w:t>https://www.recode.net/2017/10/27/16555926</w:t>
      </w:r>
      <w:r w:rsidRPr="00B31D29">
        <w:rPr>
          <w:color w:val="000000" w:themeColor="text1"/>
          <w:sz w:val="20"/>
        </w:rPr>
        <w:t>/facebook-political-advertising-ads-2016-russia</w:t>
      </w:r>
      <w:r w:rsidRPr="00B31D29">
        <w:rPr>
          <w:color w:val="000000" w:themeColor="text1"/>
          <w:sz w:val="20"/>
          <w:szCs w:val="16"/>
        </w:rPr>
        <w:t xml:space="preserve">; Craig Timberg et al., </w:t>
      </w:r>
      <w:r w:rsidRPr="00B31D29">
        <w:rPr>
          <w:i/>
          <w:color w:val="000000" w:themeColor="text1"/>
          <w:sz w:val="20"/>
          <w:szCs w:val="16"/>
        </w:rPr>
        <w:t>Russian Ads, Now Publicly Released, Show Sophistication of Influence Campaign</w:t>
      </w:r>
      <w:r w:rsidRPr="00B31D29">
        <w:rPr>
          <w:color w:val="000000" w:themeColor="text1"/>
          <w:sz w:val="20"/>
          <w:szCs w:val="16"/>
        </w:rPr>
        <w:t xml:space="preserve">, </w:t>
      </w:r>
      <w:r w:rsidRPr="00B31D29">
        <w:rPr>
          <w:smallCaps/>
          <w:color w:val="000000" w:themeColor="text1"/>
          <w:sz w:val="20"/>
          <w:szCs w:val="16"/>
        </w:rPr>
        <w:t>Wash. Post</w:t>
      </w:r>
      <w:r w:rsidRPr="00B31D29">
        <w:rPr>
          <w:color w:val="000000" w:themeColor="text1"/>
          <w:sz w:val="20"/>
          <w:szCs w:val="16"/>
        </w:rPr>
        <w:t xml:space="preserve"> (Nov. 1, 2017), </w:t>
      </w:r>
      <w:r w:rsidRPr="00B31D29">
        <w:rPr>
          <w:color w:val="000000" w:themeColor="text1"/>
          <w:sz w:val="20"/>
        </w:rPr>
        <w:t xml:space="preserve">http://wapo.st/2zoHJqk; </w:t>
      </w:r>
      <w:r w:rsidRPr="00B31D29">
        <w:rPr>
          <w:color w:val="000000" w:themeColor="text1"/>
          <w:sz w:val="20"/>
          <w:szCs w:val="16"/>
        </w:rPr>
        <w:t xml:space="preserve">Kurt Wagner, </w:t>
      </w:r>
      <w:r w:rsidRPr="00B31D29">
        <w:rPr>
          <w:i/>
          <w:color w:val="000000" w:themeColor="text1"/>
          <w:sz w:val="20"/>
          <w:szCs w:val="16"/>
        </w:rPr>
        <w:t>Twitter Is Changing Its Advertising Policies Following Russia’s Election Interference</w:t>
      </w:r>
      <w:r w:rsidRPr="00B31D29">
        <w:rPr>
          <w:color w:val="000000" w:themeColor="text1"/>
          <w:sz w:val="20"/>
          <w:szCs w:val="16"/>
        </w:rPr>
        <w:t xml:space="preserve">, </w:t>
      </w:r>
      <w:r w:rsidRPr="00B31D29">
        <w:rPr>
          <w:smallCaps/>
          <w:color w:val="000000" w:themeColor="text1"/>
          <w:sz w:val="20"/>
          <w:szCs w:val="16"/>
        </w:rPr>
        <w:t>Recode</w:t>
      </w:r>
      <w:r w:rsidRPr="00B31D29">
        <w:rPr>
          <w:color w:val="000000" w:themeColor="text1"/>
          <w:sz w:val="20"/>
          <w:szCs w:val="16"/>
        </w:rPr>
        <w:t xml:space="preserve"> (Oct. 24, 2017, 4:00 PM), </w:t>
      </w:r>
      <w:r w:rsidRPr="00B31D29">
        <w:rPr>
          <w:color w:val="000000" w:themeColor="text1"/>
          <w:spacing w:val="2"/>
          <w:sz w:val="20"/>
        </w:rPr>
        <w:t>https://www.recode.net</w:t>
      </w:r>
      <w:r w:rsidRPr="00B31D29">
        <w:rPr>
          <w:color w:val="000000" w:themeColor="text1"/>
          <w:sz w:val="20"/>
        </w:rPr>
        <w:t>/</w:t>
      </w:r>
      <w:r w:rsidRPr="00B31D29">
        <w:rPr>
          <w:color w:val="000000" w:themeColor="text1"/>
          <w:spacing w:val="2"/>
          <w:sz w:val="20"/>
        </w:rPr>
        <w:t>2017/10/24</w:t>
      </w:r>
      <w:r w:rsidRPr="00B31D29">
        <w:rPr>
          <w:color w:val="000000" w:themeColor="text1"/>
          <w:sz w:val="20"/>
        </w:rPr>
        <w:t>/</w:t>
      </w:r>
      <w:r w:rsidRPr="00B31D29">
        <w:rPr>
          <w:color w:val="000000" w:themeColor="text1"/>
          <w:spacing w:val="2"/>
          <w:sz w:val="20"/>
        </w:rPr>
        <w:t>16536934</w:t>
      </w:r>
      <w:r w:rsidRPr="00B31D29">
        <w:rPr>
          <w:color w:val="000000" w:themeColor="text1"/>
          <w:sz w:val="20"/>
        </w:rPr>
        <w:t>/</w:t>
      </w:r>
      <w:r w:rsidRPr="00B31D29">
        <w:rPr>
          <w:color w:val="000000" w:themeColor="text1"/>
          <w:spacing w:val="2"/>
          <w:sz w:val="20"/>
        </w:rPr>
        <w:t>twitter-change-policy-see-new-advertisements-russia-</w:t>
      </w:r>
      <w:r w:rsidRPr="00B31D29">
        <w:rPr>
          <w:color w:val="000000" w:themeColor="text1"/>
          <w:sz w:val="20"/>
        </w:rPr>
        <w:t>presidential-election</w:t>
      </w:r>
      <w:r w:rsidRPr="00B31D29">
        <w:rPr>
          <w:color w:val="000000" w:themeColor="text1"/>
          <w:sz w:val="20"/>
          <w:szCs w:val="16"/>
        </w:rPr>
        <w:t xml:space="preserve">. Meanwhile, legislators have introduced the Honest Ads Act to increase the amount of information Internet companies would have to disclose about political ads. </w:t>
      </w:r>
      <w:r w:rsidRPr="00B31D29">
        <w:rPr>
          <w:i/>
          <w:color w:val="000000" w:themeColor="text1"/>
          <w:sz w:val="20"/>
          <w:szCs w:val="16"/>
        </w:rPr>
        <w:t>See</w:t>
      </w:r>
      <w:r w:rsidRPr="00B31D29">
        <w:rPr>
          <w:color w:val="000000" w:themeColor="text1"/>
          <w:sz w:val="20"/>
          <w:szCs w:val="16"/>
        </w:rPr>
        <w:t xml:space="preserve"> Kerry Flynn, </w:t>
      </w:r>
      <w:r w:rsidRPr="00B31D29">
        <w:rPr>
          <w:i/>
          <w:color w:val="000000" w:themeColor="text1"/>
          <w:sz w:val="20"/>
          <w:szCs w:val="16"/>
        </w:rPr>
        <w:t>Honest Ads Act Would Regulate Online Political Ads Like TV Commercials</w:t>
      </w:r>
      <w:r w:rsidRPr="00B31D29">
        <w:rPr>
          <w:color w:val="000000" w:themeColor="text1"/>
          <w:sz w:val="20"/>
          <w:szCs w:val="16"/>
        </w:rPr>
        <w:t xml:space="preserve">, </w:t>
      </w:r>
      <w:r w:rsidRPr="00B31D29">
        <w:rPr>
          <w:smallCaps/>
          <w:color w:val="000000" w:themeColor="text1"/>
          <w:sz w:val="20"/>
          <w:szCs w:val="16"/>
        </w:rPr>
        <w:t>Mashable</w:t>
      </w:r>
      <w:r w:rsidRPr="00B31D29">
        <w:rPr>
          <w:color w:val="000000" w:themeColor="text1"/>
          <w:sz w:val="20"/>
          <w:szCs w:val="16"/>
        </w:rPr>
        <w:t xml:space="preserve"> (Oct. 19, 2017), </w:t>
      </w:r>
      <w:r w:rsidRPr="00B31D29">
        <w:rPr>
          <w:color w:val="000000" w:themeColor="text1"/>
          <w:sz w:val="20"/>
        </w:rPr>
        <w:t>http://mashable.com/2017/10/19/honest-ads-online-political-facebook-google-twitter-russia</w:t>
      </w:r>
      <w:r w:rsidRPr="00B31D29">
        <w:rPr>
          <w:color w:val="000000" w:themeColor="text1"/>
          <w:sz w:val="20"/>
          <w:szCs w:val="16"/>
        </w:rPr>
        <w:t>. In light of these rapid developments, the disclosure policies for many social media companies are in the process of being amended and revised.</w:t>
      </w:r>
    </w:p>
  </w:footnote>
  <w:footnote w:id="218">
    <w:p w14:paraId="4E809532" w14:textId="56E86D03"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Snapchat Political Advertising Guidelines</w:t>
      </w:r>
      <w:r w:rsidRPr="00B31D29">
        <w:rPr>
          <w:color w:val="000000" w:themeColor="text1"/>
          <w:sz w:val="20"/>
          <w:szCs w:val="16"/>
        </w:rPr>
        <w:t xml:space="preserve">, </w:t>
      </w:r>
      <w:r w:rsidRPr="00B31D29">
        <w:rPr>
          <w:smallCaps/>
          <w:color w:val="000000" w:themeColor="text1"/>
          <w:sz w:val="20"/>
          <w:szCs w:val="16"/>
        </w:rPr>
        <w:t>Snapchat</w:t>
      </w:r>
      <w:r w:rsidRPr="00B31D29">
        <w:rPr>
          <w:color w:val="000000" w:themeColor="text1"/>
          <w:sz w:val="20"/>
          <w:szCs w:val="16"/>
        </w:rPr>
        <w:t>, https://www.snapchat.com/ads/</w:t>
      </w:r>
      <w:r w:rsidRPr="00B31D29">
        <w:rPr>
          <w:color w:val="000000" w:themeColor="text1"/>
          <w:sz w:val="20"/>
          <w:szCs w:val="16"/>
        </w:rPr>
        <w:br/>
        <w:t>political-guidelines (last visited Jan. 26, 2018).</w:t>
      </w:r>
    </w:p>
  </w:footnote>
  <w:footnote w:id="219">
    <w:p w14:paraId="35E88C8F" w14:textId="2DAAED20"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w:t>
      </w:r>
    </w:p>
  </w:footnote>
  <w:footnote w:id="220">
    <w:p w14:paraId="35652B48" w14:textId="1157A0B8"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w:t>
      </w:r>
    </w:p>
  </w:footnote>
  <w:footnote w:id="221">
    <w:p w14:paraId="6A78B0DE" w14:textId="77777777" w:rsidR="00CF426F" w:rsidRPr="00B31D29" w:rsidRDefault="00CF426F" w:rsidP="007A27C9">
      <w:pPr>
        <w:pStyle w:val="FootNote"/>
        <w:widowControl w:val="0"/>
        <w:rPr>
          <w:i/>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Political Campaigning, </w:t>
      </w:r>
      <w:r w:rsidRPr="00B31D29">
        <w:rPr>
          <w:smallCaps/>
          <w:color w:val="000000" w:themeColor="text1"/>
          <w:sz w:val="20"/>
          <w:szCs w:val="16"/>
        </w:rPr>
        <w:t xml:space="preserve">Twitter, </w:t>
      </w:r>
      <w:r w:rsidRPr="00B31D29">
        <w:rPr>
          <w:color w:val="000000" w:themeColor="text1"/>
          <w:sz w:val="20"/>
          <w:szCs w:val="16"/>
        </w:rPr>
        <w:t xml:space="preserve">https://support.twitter.com/articles/20170492 (last visited Jan. 26, 2018). </w:t>
      </w:r>
    </w:p>
  </w:footnote>
  <w:footnote w:id="222">
    <w:p w14:paraId="33261216" w14:textId="25231602" w:rsidR="00CF426F" w:rsidRPr="00B31D29" w:rsidRDefault="00CF426F" w:rsidP="007A27C9">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 xml:space="preserve">Michelle Castillo, </w:t>
      </w:r>
      <w:r w:rsidRPr="00B31D29">
        <w:rPr>
          <w:i/>
          <w:color w:val="000000" w:themeColor="text1"/>
          <w:sz w:val="20"/>
          <w:szCs w:val="16"/>
        </w:rPr>
        <w:t>Twitter Will Now Label Political Ads, Including Who Bought Them and How Much They Are Spending</w:t>
      </w:r>
      <w:r w:rsidRPr="00B31D29">
        <w:rPr>
          <w:color w:val="000000" w:themeColor="text1"/>
          <w:sz w:val="20"/>
          <w:szCs w:val="16"/>
        </w:rPr>
        <w:t xml:space="preserve">, </w:t>
      </w:r>
      <w:r w:rsidRPr="00B31D29">
        <w:rPr>
          <w:smallCaps/>
          <w:color w:val="000000" w:themeColor="text1"/>
          <w:sz w:val="20"/>
          <w:szCs w:val="16"/>
        </w:rPr>
        <w:t>CNBC</w:t>
      </w:r>
      <w:r w:rsidRPr="00B31D29">
        <w:rPr>
          <w:color w:val="000000" w:themeColor="text1"/>
          <w:sz w:val="20"/>
          <w:szCs w:val="16"/>
        </w:rPr>
        <w:t xml:space="preserve"> (Oct. 24, 2017, 5:34 PM), https://www.cnbc.com/2017/10/</w:t>
      </w:r>
      <w:r w:rsidRPr="00B31D29">
        <w:rPr>
          <w:color w:val="000000" w:themeColor="text1"/>
          <w:sz w:val="20"/>
          <w:szCs w:val="16"/>
        </w:rPr>
        <w:br/>
        <w:t>24/twitter-will-label-political-ads-including-who-bought-and-spend.html.</w:t>
      </w:r>
    </w:p>
  </w:footnote>
  <w:footnote w:id="223">
    <w:p w14:paraId="56909CE0" w14:textId="77777777" w:rsidR="00CF426F" w:rsidRPr="00B31D29" w:rsidRDefault="00CF426F" w:rsidP="007A27C9">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p>
  </w:footnote>
  <w:footnote w:id="224">
    <w:p w14:paraId="778491A7" w14:textId="190E463C"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Political Content</w:t>
      </w:r>
      <w:r w:rsidRPr="00B31D29">
        <w:rPr>
          <w:color w:val="000000" w:themeColor="text1"/>
          <w:sz w:val="20"/>
          <w:szCs w:val="16"/>
        </w:rPr>
        <w:t xml:space="preserve">, </w:t>
      </w:r>
      <w:r w:rsidRPr="00B31D29">
        <w:rPr>
          <w:smallCaps/>
          <w:color w:val="000000" w:themeColor="text1"/>
          <w:sz w:val="20"/>
          <w:szCs w:val="16"/>
        </w:rPr>
        <w:t>Google</w:t>
      </w:r>
      <w:r w:rsidRPr="00B31D29">
        <w:rPr>
          <w:color w:val="000000" w:themeColor="text1"/>
          <w:sz w:val="20"/>
          <w:szCs w:val="16"/>
        </w:rPr>
        <w:t>, https://support.google.com/adwordspolicy/answer/6014595</w:t>
      </w:r>
      <w:r w:rsidRPr="00B31D29" w:rsidDel="00580D50">
        <w:rPr>
          <w:color w:val="000000" w:themeColor="text1"/>
          <w:sz w:val="20"/>
          <w:szCs w:val="16"/>
        </w:rPr>
        <w:t xml:space="preserve"> </w:t>
      </w:r>
      <w:r w:rsidRPr="00B31D29">
        <w:rPr>
          <w:color w:val="000000" w:themeColor="text1"/>
          <w:sz w:val="20"/>
          <w:szCs w:val="16"/>
        </w:rPr>
        <w:t xml:space="preserve">(last visited Jan. 26, 2018). </w:t>
      </w:r>
    </w:p>
  </w:footnote>
  <w:footnote w:id="225">
    <w:p w14:paraId="0497D83C" w14:textId="19A5F7AA" w:rsidR="00CF426F" w:rsidRPr="00B31D29" w:rsidRDefault="00CF426F" w:rsidP="008714AC">
      <w:pPr>
        <w:pStyle w:val="FootNote"/>
        <w:widowControl w:val="0"/>
        <w:rPr>
          <w:color w:val="000000" w:themeColor="text1"/>
          <w:sz w:val="20"/>
          <w:szCs w:val="16"/>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color w:val="000000" w:themeColor="text1"/>
          <w:sz w:val="20"/>
        </w:rPr>
        <w:t xml:space="preserve"> </w:t>
      </w:r>
      <w:r w:rsidRPr="00B31D29">
        <w:rPr>
          <w:color w:val="000000" w:themeColor="text1"/>
          <w:sz w:val="20"/>
          <w:szCs w:val="16"/>
        </w:rPr>
        <w:t xml:space="preserve">Tony Romm, </w:t>
      </w:r>
      <w:r w:rsidRPr="00B31D29">
        <w:rPr>
          <w:i/>
          <w:color w:val="000000" w:themeColor="text1"/>
          <w:sz w:val="20"/>
          <w:szCs w:val="16"/>
        </w:rPr>
        <w:t>Google Asked the U.S. Government to Consider New Rules of the Road for Online Political Ads</w:t>
      </w:r>
      <w:r w:rsidRPr="00B31D29">
        <w:rPr>
          <w:color w:val="000000" w:themeColor="text1"/>
          <w:sz w:val="20"/>
          <w:szCs w:val="16"/>
        </w:rPr>
        <w:t xml:space="preserve">, </w:t>
      </w:r>
      <w:r w:rsidRPr="00B31D29">
        <w:rPr>
          <w:smallCaps/>
          <w:color w:val="000000" w:themeColor="text1"/>
          <w:sz w:val="20"/>
          <w:szCs w:val="16"/>
        </w:rPr>
        <w:t>Recode</w:t>
      </w:r>
      <w:r w:rsidRPr="00B31D29">
        <w:rPr>
          <w:color w:val="000000" w:themeColor="text1"/>
          <w:sz w:val="20"/>
          <w:szCs w:val="16"/>
        </w:rPr>
        <w:t xml:space="preserve"> (Nov. 9, 2017, 2:40 PM), https://www.recode.net/2017/11/9/16629978/</w:t>
      </w:r>
    </w:p>
    <w:p w14:paraId="098902B9" w14:textId="5AADB4C5" w:rsidR="00CF426F" w:rsidRPr="00B31D29" w:rsidRDefault="00CF426F" w:rsidP="008714AC">
      <w:pPr>
        <w:pStyle w:val="FootNote"/>
        <w:widowControl w:val="0"/>
        <w:rPr>
          <w:color w:val="000000" w:themeColor="text1"/>
          <w:sz w:val="20"/>
          <w:szCs w:val="16"/>
        </w:rPr>
      </w:pPr>
      <w:r w:rsidRPr="00B31D29">
        <w:rPr>
          <w:color w:val="000000" w:themeColor="text1"/>
          <w:sz w:val="20"/>
          <w:szCs w:val="16"/>
        </w:rPr>
        <w:t>facebook-google-twitter-federal-election-commission-fec-russia.</w:t>
      </w:r>
    </w:p>
  </w:footnote>
  <w:footnote w:id="226">
    <w:p w14:paraId="67F5D851" w14:textId="48946079" w:rsidR="00CF426F" w:rsidRPr="00B31D29" w:rsidRDefault="00CF426F" w:rsidP="007C454B">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 xml:space="preserve"> </w:t>
      </w:r>
      <w:r w:rsidRPr="00B31D29">
        <w:rPr>
          <w:i/>
          <w:color w:val="000000" w:themeColor="text1"/>
          <w:sz w:val="20"/>
          <w:szCs w:val="16"/>
        </w:rPr>
        <w:t>See Page Best Practices</w:t>
      </w:r>
      <w:r w:rsidRPr="00B31D29">
        <w:rPr>
          <w:color w:val="000000" w:themeColor="text1"/>
          <w:sz w:val="20"/>
          <w:szCs w:val="16"/>
        </w:rPr>
        <w:t xml:space="preserve">, </w:t>
      </w:r>
      <w:r w:rsidRPr="00B31D29">
        <w:rPr>
          <w:smallCaps/>
          <w:color w:val="000000" w:themeColor="text1"/>
          <w:sz w:val="20"/>
          <w:szCs w:val="16"/>
        </w:rPr>
        <w:t>Facebook: Elections</w:t>
      </w:r>
      <w:r w:rsidRPr="00B31D29">
        <w:rPr>
          <w:color w:val="000000" w:themeColor="text1"/>
          <w:sz w:val="20"/>
          <w:szCs w:val="16"/>
        </w:rPr>
        <w:t>, https://politics.fb.com/page-best-practices (last visited Jan. 26, 2018).</w:t>
      </w:r>
    </w:p>
  </w:footnote>
  <w:footnote w:id="227">
    <w:p w14:paraId="33D4B66B" w14:textId="558900AD"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 xml:space="preserve"> Rob Goldman, </w:t>
      </w:r>
      <w:r w:rsidRPr="00B31D29">
        <w:rPr>
          <w:i/>
          <w:color w:val="000000" w:themeColor="text1"/>
          <w:sz w:val="20"/>
          <w:szCs w:val="16"/>
        </w:rPr>
        <w:t>Update on Our Advertising Transparency and Authenticity Efforts</w:t>
      </w:r>
      <w:r w:rsidRPr="00B31D29">
        <w:rPr>
          <w:color w:val="000000" w:themeColor="text1"/>
          <w:sz w:val="20"/>
          <w:szCs w:val="16"/>
        </w:rPr>
        <w:t xml:space="preserve">, </w:t>
      </w:r>
      <w:r w:rsidRPr="00B31D29">
        <w:rPr>
          <w:smallCaps/>
          <w:color w:val="000000" w:themeColor="text1"/>
          <w:sz w:val="20"/>
          <w:szCs w:val="16"/>
        </w:rPr>
        <w:t>Facebook: Newsroom</w:t>
      </w:r>
      <w:r w:rsidRPr="00B31D29">
        <w:rPr>
          <w:color w:val="000000" w:themeColor="text1"/>
          <w:sz w:val="20"/>
          <w:szCs w:val="16"/>
        </w:rPr>
        <w:t xml:space="preserve"> (Oct. 27, 2017), </w:t>
      </w:r>
      <w:r w:rsidRPr="00B31D29">
        <w:rPr>
          <w:color w:val="000000" w:themeColor="text1"/>
          <w:sz w:val="20"/>
        </w:rPr>
        <w:t>https://newsroom.fb.com/news/2017/10/update-on-our-advertising-transparency-and-authenticity-efforts</w:t>
      </w:r>
      <w:r w:rsidRPr="00B31D29">
        <w:rPr>
          <w:color w:val="000000" w:themeColor="text1"/>
          <w:sz w:val="20"/>
          <w:szCs w:val="16"/>
        </w:rPr>
        <w:t>.</w:t>
      </w:r>
    </w:p>
  </w:footnote>
  <w:footnote w:id="228">
    <w:p w14:paraId="0266FF5E" w14:textId="6444CF63"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See Zynga Advertising Guidelines</w:t>
      </w:r>
      <w:r w:rsidRPr="00B31D29">
        <w:rPr>
          <w:color w:val="000000" w:themeColor="text1"/>
          <w:sz w:val="20"/>
          <w:szCs w:val="16"/>
        </w:rPr>
        <w:t xml:space="preserve">, </w:t>
      </w:r>
      <w:r w:rsidRPr="00B31D29">
        <w:rPr>
          <w:smallCaps/>
          <w:color w:val="000000" w:themeColor="text1"/>
          <w:sz w:val="20"/>
          <w:szCs w:val="16"/>
        </w:rPr>
        <w:t>Zynga</w:t>
      </w:r>
      <w:r w:rsidRPr="00B31D29">
        <w:rPr>
          <w:color w:val="000000" w:themeColor="text1"/>
          <w:sz w:val="20"/>
          <w:szCs w:val="16"/>
        </w:rPr>
        <w:t xml:space="preserve">, https://www.zynga.com/legal/zynga-advertising-guidelines (last visited Jan. 26, 2018). Zynga does ban “[c]ontent that exploits political agendas or uses ‘hot button’ issues for commercial use.” </w:t>
      </w:r>
      <w:r w:rsidRPr="00B31D29">
        <w:rPr>
          <w:i/>
          <w:color w:val="000000" w:themeColor="text1"/>
          <w:sz w:val="20"/>
          <w:szCs w:val="16"/>
        </w:rPr>
        <w:t>Id</w:t>
      </w:r>
      <w:r w:rsidRPr="00B31D29">
        <w:rPr>
          <w:color w:val="000000" w:themeColor="text1"/>
          <w:sz w:val="20"/>
          <w:szCs w:val="16"/>
        </w:rPr>
        <w:t xml:space="preserve">. </w:t>
      </w:r>
    </w:p>
  </w:footnote>
  <w:footnote w:id="229">
    <w:p w14:paraId="4810EF95" w14:textId="3CC087AC" w:rsidR="00CF426F" w:rsidRPr="00B31D29" w:rsidRDefault="00CF426F" w:rsidP="00BA13DF">
      <w:pPr>
        <w:pStyle w:val="FootNotePara"/>
        <w:ind w:firstLine="0"/>
        <w:rPr>
          <w:color w:val="000000" w:themeColor="text1"/>
          <w:sz w:val="20"/>
        </w:rPr>
      </w:pPr>
      <w:r w:rsidRPr="00B31D29">
        <w:rPr>
          <w:i/>
          <w:color w:val="000000" w:themeColor="text1"/>
          <w:sz w:val="20"/>
        </w:rPr>
        <w:tab/>
      </w:r>
      <w:r w:rsidRPr="00B31D29">
        <w:rPr>
          <w:rStyle w:val="FootnoteReference"/>
          <w:color w:val="000000" w:themeColor="text1"/>
          <w:sz w:val="20"/>
          <w:vertAlign w:val="baseline"/>
        </w:rPr>
        <w:footnoteRef/>
      </w:r>
      <w:r w:rsidRPr="00B31D29">
        <w:rPr>
          <w:color w:val="000000" w:themeColor="text1"/>
          <w:sz w:val="20"/>
        </w:rPr>
        <w:t>.</w:t>
      </w:r>
      <w:r w:rsidRPr="00B31D29">
        <w:rPr>
          <w:color w:val="000000" w:themeColor="text1"/>
          <w:sz w:val="20"/>
        </w:rPr>
        <w:tab/>
      </w:r>
      <w:r w:rsidRPr="00B31D29">
        <w:rPr>
          <w:i/>
          <w:color w:val="000000" w:themeColor="text1"/>
          <w:sz w:val="20"/>
        </w:rPr>
        <w:t xml:space="preserve">See </w:t>
      </w:r>
      <w:r w:rsidRPr="00B31D29">
        <w:rPr>
          <w:color w:val="000000" w:themeColor="text1"/>
          <w:sz w:val="20"/>
        </w:rPr>
        <w:t xml:space="preserve">Persily, </w:t>
      </w:r>
      <w:r w:rsidRPr="00B31D29">
        <w:rPr>
          <w:i/>
          <w:color w:val="000000" w:themeColor="text1"/>
          <w:sz w:val="20"/>
        </w:rPr>
        <w:t>supra</w:t>
      </w:r>
      <w:r w:rsidRPr="00B31D29">
        <w:rPr>
          <w:color w:val="000000" w:themeColor="text1"/>
          <w:sz w:val="20"/>
        </w:rPr>
        <w:t xml:space="preserve"> note </w:t>
      </w:r>
      <w:r w:rsidRPr="00B31D29">
        <w:rPr>
          <w:color w:val="000000" w:themeColor="text1"/>
          <w:sz w:val="20"/>
        </w:rPr>
        <w:fldChar w:fldCharType="begin"/>
      </w:r>
      <w:r w:rsidRPr="00B31D29">
        <w:rPr>
          <w:color w:val="000000" w:themeColor="text1"/>
          <w:sz w:val="20"/>
        </w:rPr>
        <w:instrText xml:space="preserve"> NOTEREF _Ref496705452 \h </w:instrText>
      </w:r>
      <w:r w:rsidRPr="00B31D29">
        <w:rPr>
          <w:color w:val="000000" w:themeColor="text1"/>
          <w:sz w:val="20"/>
        </w:rPr>
      </w:r>
      <w:r w:rsidR="00B31D29" w:rsidRPr="00B31D29">
        <w:rPr>
          <w:color w:val="000000" w:themeColor="text1"/>
          <w:sz w:val="20"/>
        </w:rPr>
        <w:instrText xml:space="preserve"> \* MERGEFORMAT </w:instrText>
      </w:r>
      <w:r w:rsidRPr="00B31D29">
        <w:rPr>
          <w:color w:val="000000" w:themeColor="text1"/>
          <w:sz w:val="20"/>
        </w:rPr>
        <w:fldChar w:fldCharType="separate"/>
      </w:r>
      <w:r w:rsidR="00203FC5" w:rsidRPr="00B31D29">
        <w:rPr>
          <w:color w:val="000000" w:themeColor="text1"/>
          <w:sz w:val="20"/>
        </w:rPr>
        <w:t>170</w:t>
      </w:r>
      <w:r w:rsidRPr="00B31D29">
        <w:rPr>
          <w:color w:val="000000" w:themeColor="text1"/>
          <w:sz w:val="20"/>
        </w:rPr>
        <w:fldChar w:fldCharType="end"/>
      </w:r>
      <w:r w:rsidRPr="00B31D29">
        <w:rPr>
          <w:color w:val="000000" w:themeColor="text1"/>
          <w:sz w:val="20"/>
        </w:rPr>
        <w:t>.</w:t>
      </w:r>
    </w:p>
  </w:footnote>
  <w:footnote w:id="230">
    <w:p w14:paraId="445F5A1E" w14:textId="4121942C"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See</w:t>
      </w:r>
      <w:r w:rsidRPr="00B31D29">
        <w:rPr>
          <w:color w:val="000000" w:themeColor="text1"/>
          <w:sz w:val="20"/>
          <w:szCs w:val="16"/>
        </w:rPr>
        <w:t xml:space="preserve"> </w:t>
      </w:r>
      <w:r w:rsidRPr="00B31D29">
        <w:rPr>
          <w:i/>
          <w:color w:val="000000" w:themeColor="text1"/>
          <w:sz w:val="20"/>
          <w:szCs w:val="16"/>
        </w:rPr>
        <w:t>Truth in Advertising</w:t>
      </w:r>
      <w:r w:rsidRPr="00B31D29">
        <w:rPr>
          <w:smallCaps/>
          <w:color w:val="000000" w:themeColor="text1"/>
          <w:sz w:val="20"/>
          <w:szCs w:val="16"/>
        </w:rPr>
        <w:t xml:space="preserve">, </w:t>
      </w:r>
      <w:r w:rsidRPr="00B31D29">
        <w:rPr>
          <w:i/>
          <w:color w:val="000000" w:themeColor="text1"/>
          <w:sz w:val="20"/>
          <w:szCs w:val="16"/>
        </w:rPr>
        <w:t>supra</w:t>
      </w:r>
      <w:r w:rsidRPr="00B31D29">
        <w:rPr>
          <w:i/>
          <w:smallCaps/>
          <w:color w:val="000000" w:themeColor="text1"/>
          <w:sz w:val="20"/>
          <w:szCs w:val="16"/>
        </w:rPr>
        <w:t xml:space="preserve"> </w:t>
      </w:r>
      <w:r w:rsidRPr="00B31D29">
        <w:rPr>
          <w:color w:val="000000" w:themeColor="text1"/>
          <w:sz w:val="20"/>
          <w:szCs w:val="16"/>
        </w:rPr>
        <w:t>note</w:t>
      </w:r>
      <w:r w:rsidRPr="00B31D29">
        <w:rPr>
          <w:smallCaps/>
          <w:color w:val="000000" w:themeColor="text1"/>
          <w:sz w:val="20"/>
          <w:szCs w:val="16"/>
        </w:rPr>
        <w:t xml:space="preserve"> </w:t>
      </w:r>
      <w:r w:rsidRPr="00B31D29">
        <w:rPr>
          <w:smallCaps/>
          <w:color w:val="000000" w:themeColor="text1"/>
          <w:sz w:val="20"/>
          <w:szCs w:val="16"/>
        </w:rPr>
        <w:fldChar w:fldCharType="begin"/>
      </w:r>
      <w:r w:rsidRPr="00B31D29">
        <w:rPr>
          <w:smallCaps/>
          <w:color w:val="000000" w:themeColor="text1"/>
          <w:sz w:val="20"/>
          <w:szCs w:val="16"/>
        </w:rPr>
        <w:instrText xml:space="preserve"> NOTEREF _Ref496705506 \h </w:instrText>
      </w:r>
      <w:r w:rsidRPr="00B31D29">
        <w:rPr>
          <w:smallCaps/>
          <w:color w:val="000000" w:themeColor="text1"/>
          <w:sz w:val="20"/>
          <w:szCs w:val="16"/>
        </w:rPr>
      </w:r>
      <w:r w:rsidR="00B31D29" w:rsidRPr="00B31D29">
        <w:rPr>
          <w:smallCaps/>
          <w:color w:val="000000" w:themeColor="text1"/>
          <w:sz w:val="20"/>
          <w:szCs w:val="16"/>
        </w:rPr>
        <w:instrText xml:space="preserve"> \* MERGEFORMAT </w:instrText>
      </w:r>
      <w:r w:rsidRPr="00B31D29">
        <w:rPr>
          <w:smallCaps/>
          <w:color w:val="000000" w:themeColor="text1"/>
          <w:sz w:val="20"/>
          <w:szCs w:val="16"/>
        </w:rPr>
        <w:fldChar w:fldCharType="separate"/>
      </w:r>
      <w:r w:rsidR="00203FC5" w:rsidRPr="00B31D29">
        <w:rPr>
          <w:smallCaps/>
          <w:color w:val="000000" w:themeColor="text1"/>
          <w:sz w:val="20"/>
          <w:szCs w:val="16"/>
        </w:rPr>
        <w:t>199</w:t>
      </w:r>
      <w:r w:rsidRPr="00B31D29">
        <w:rPr>
          <w:smallCaps/>
          <w:color w:val="000000" w:themeColor="text1"/>
          <w:sz w:val="20"/>
          <w:szCs w:val="16"/>
        </w:rPr>
        <w:fldChar w:fldCharType="end"/>
      </w:r>
      <w:r w:rsidRPr="00B31D29">
        <w:rPr>
          <w:smallCaps/>
          <w:color w:val="000000" w:themeColor="text1"/>
          <w:sz w:val="20"/>
          <w:szCs w:val="16"/>
        </w:rPr>
        <w:t xml:space="preserve">, </w:t>
      </w:r>
      <w:r w:rsidRPr="00B31D29">
        <w:rPr>
          <w:color w:val="000000" w:themeColor="text1"/>
          <w:sz w:val="20"/>
          <w:szCs w:val="16"/>
        </w:rPr>
        <w:t>at 2.</w:t>
      </w:r>
    </w:p>
  </w:footnote>
  <w:footnote w:id="231">
    <w:p w14:paraId="191107BF" w14:textId="5FC57A33"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See </w:t>
      </w:r>
      <w:r w:rsidRPr="00B31D29">
        <w:rPr>
          <w:color w:val="000000" w:themeColor="text1"/>
          <w:sz w:val="20"/>
          <w:szCs w:val="16"/>
        </w:rPr>
        <w:t xml:space="preserve">Sydney Ember, </w:t>
      </w:r>
      <w:r w:rsidRPr="00B31D29">
        <w:rPr>
          <w:i/>
          <w:color w:val="000000" w:themeColor="text1"/>
          <w:sz w:val="20"/>
          <w:szCs w:val="16"/>
        </w:rPr>
        <w:t>F.T.C. Guidelines on Native Ads Aim to Prevent Deception</w:t>
      </w:r>
      <w:r w:rsidRPr="00B31D29">
        <w:rPr>
          <w:color w:val="000000" w:themeColor="text1"/>
          <w:sz w:val="20"/>
          <w:szCs w:val="16"/>
        </w:rPr>
        <w:t xml:space="preserve">, </w:t>
      </w:r>
      <w:r w:rsidRPr="00B31D29">
        <w:rPr>
          <w:smallCaps/>
          <w:color w:val="000000" w:themeColor="text1"/>
          <w:sz w:val="20"/>
          <w:szCs w:val="16"/>
        </w:rPr>
        <w:t>N.Y. Times</w:t>
      </w:r>
      <w:r w:rsidRPr="00B31D29">
        <w:rPr>
          <w:color w:val="000000" w:themeColor="text1"/>
          <w:sz w:val="20"/>
          <w:szCs w:val="16"/>
        </w:rPr>
        <w:t xml:space="preserve"> (Dec. 22, 2015), https://nyti.ms/2GkNp4X (noting that the FTC guidelines regarding native ads have caused marketers to “</w:t>
      </w:r>
      <w:r w:rsidRPr="00B31D29">
        <w:rPr>
          <w:color w:val="000000" w:themeColor="text1"/>
          <w:sz w:val="20"/>
          <w:szCs w:val="16"/>
          <w:shd w:val="clear" w:color="auto" w:fill="FFFFFF"/>
        </w:rPr>
        <w:t xml:space="preserve">worry that the guidelines could stifle further advancements in an area that they both have come to increasingly rely on.”). </w:t>
      </w:r>
    </w:p>
  </w:footnote>
  <w:footnote w:id="232">
    <w:p w14:paraId="3D62E282" w14:textId="403E28C9"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See, e.g.</w:t>
      </w:r>
      <w:r w:rsidRPr="00B31D29">
        <w:rPr>
          <w:color w:val="000000" w:themeColor="text1"/>
          <w:sz w:val="20"/>
          <w:szCs w:val="16"/>
        </w:rPr>
        <w:t xml:space="preserve">, </w:t>
      </w:r>
      <w:r w:rsidRPr="00B31D29">
        <w:rPr>
          <w:i/>
          <w:color w:val="000000" w:themeColor="text1"/>
          <w:sz w:val="20"/>
          <w:szCs w:val="16"/>
        </w:rPr>
        <w:t>Show Me the Money</w:t>
      </w:r>
      <w:r w:rsidRPr="00B31D29">
        <w:rPr>
          <w:color w:val="000000" w:themeColor="text1"/>
          <w:sz w:val="20"/>
          <w:szCs w:val="16"/>
        </w:rPr>
        <w:t xml:space="preserve">,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_Ref492481628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6</w:t>
      </w:r>
      <w:r w:rsidRPr="00B31D29">
        <w:rPr>
          <w:color w:val="000000" w:themeColor="text1"/>
          <w:sz w:val="20"/>
          <w:szCs w:val="16"/>
        </w:rPr>
        <w:fldChar w:fldCharType="end"/>
      </w:r>
      <w:r w:rsidRPr="00B31D29">
        <w:rPr>
          <w:color w:val="000000" w:themeColor="text1"/>
          <w:sz w:val="20"/>
          <w:szCs w:val="16"/>
        </w:rPr>
        <w:t xml:space="preserve">, at 23–26. </w:t>
      </w:r>
    </w:p>
  </w:footnote>
  <w:footnote w:id="233">
    <w:p w14:paraId="159870F1" w14:textId="2BAF87D4"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rFonts w:eastAsia="MS Mincho"/>
          <w:color w:val="000000" w:themeColor="text1"/>
          <w:sz w:val="20"/>
          <w:szCs w:val="16"/>
        </w:rPr>
        <w:t>Lazauskas,</w:t>
      </w:r>
      <w:r w:rsidRPr="00B31D29">
        <w:rPr>
          <w:i/>
          <w:color w:val="000000" w:themeColor="text1"/>
          <w:sz w:val="20"/>
          <w:szCs w:val="16"/>
        </w:rPr>
        <w:t xml:space="preserve"> 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_Ref492481643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2</w:t>
      </w:r>
      <w:r w:rsidRPr="00B31D29">
        <w:rPr>
          <w:color w:val="000000" w:themeColor="text1"/>
          <w:sz w:val="20"/>
          <w:szCs w:val="16"/>
        </w:rPr>
        <w:fldChar w:fldCharType="end"/>
      </w:r>
      <w:r w:rsidRPr="00B31D29">
        <w:rPr>
          <w:color w:val="000000" w:themeColor="text1"/>
          <w:sz w:val="20"/>
          <w:szCs w:val="16"/>
        </w:rPr>
        <w:t xml:space="preserve">. </w:t>
      </w:r>
    </w:p>
  </w:footnote>
  <w:footnote w:id="234">
    <w:p w14:paraId="14318D9E" w14:textId="6C3736E2" w:rsidR="00CF426F" w:rsidRPr="00B31D29" w:rsidRDefault="00CF426F" w:rsidP="00637AD3">
      <w:pPr>
        <w:pStyle w:val="FootNote"/>
        <w:widowControl w:val="0"/>
        <w:rPr>
          <w:color w:val="000000" w:themeColor="text1"/>
          <w:sz w:val="20"/>
          <w:szCs w:val="16"/>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See </w:t>
      </w:r>
      <w:r w:rsidRPr="00B31D29">
        <w:rPr>
          <w:color w:val="000000" w:themeColor="text1"/>
          <w:sz w:val="20"/>
          <w:szCs w:val="16"/>
        </w:rPr>
        <w:t>Letter from Colin S. Stretch, Deputy Gen. Counsel, Facebook, Inc., to Amy L. Rothstein, Assistant Gen. Counsel, Fed. Election Comm’n 2 (Nov. 14, 2011), http://sers.fec.gov/fosers/</w:t>
      </w:r>
      <w:r w:rsidRPr="00B31D29">
        <w:rPr>
          <w:color w:val="000000" w:themeColor="text1"/>
          <w:sz w:val="20"/>
          <w:szCs w:val="16"/>
        </w:rPr>
        <w:br/>
        <w:t>showpdf.htm?docid=98769.</w:t>
      </w:r>
    </w:p>
  </w:footnote>
  <w:footnote w:id="235">
    <w:p w14:paraId="4C12A57D" w14:textId="1D416D19" w:rsidR="00CF426F" w:rsidRPr="00B31D29" w:rsidRDefault="00CF426F" w:rsidP="00637AD3">
      <w:pPr>
        <w:pStyle w:val="FootNote"/>
        <w:widowControl w:val="0"/>
        <w:rPr>
          <w:color w:val="000000" w:themeColor="text1"/>
          <w:sz w:val="20"/>
          <w:szCs w:val="16"/>
        </w:rPr>
      </w:pPr>
      <w:r w:rsidRPr="00B31D29">
        <w:rPr>
          <w:color w:val="000000" w:themeColor="text1"/>
          <w:sz w:val="20"/>
          <w:szCs w:val="16"/>
        </w:rPr>
        <w:tab/>
      </w:r>
      <w:r w:rsidRPr="00B31D29">
        <w:rPr>
          <w:rStyle w:val="NoterefInNote"/>
          <w:color w:val="000000" w:themeColor="text1"/>
          <w:sz w:val="20"/>
          <w:szCs w:val="16"/>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Id.</w:t>
      </w:r>
      <w:r w:rsidRPr="00B31D29">
        <w:rPr>
          <w:color w:val="000000" w:themeColor="text1"/>
          <w:sz w:val="20"/>
          <w:szCs w:val="16"/>
        </w:rPr>
        <w:t xml:space="preserve"> </w:t>
      </w:r>
    </w:p>
  </w:footnote>
  <w:footnote w:id="236">
    <w:p w14:paraId="4DAF3C98" w14:textId="4AF43C77" w:rsidR="00CF426F" w:rsidRPr="00B31D29" w:rsidRDefault="00CF426F" w:rsidP="000A5531">
      <w:pPr>
        <w:pStyle w:val="FootNote"/>
        <w:widowControl w:val="0"/>
        <w:rPr>
          <w:color w:val="000000" w:themeColor="text1"/>
          <w:sz w:val="20"/>
          <w:szCs w:val="16"/>
        </w:rPr>
      </w:pPr>
      <w:r w:rsidRPr="00B31D29">
        <w:rPr>
          <w:color w:val="000000" w:themeColor="text1"/>
          <w:sz w:val="20"/>
          <w:szCs w:val="16"/>
        </w:rPr>
        <w:tab/>
      </w:r>
      <w:r w:rsidRPr="00B31D29">
        <w:rPr>
          <w:rStyle w:val="NoterefInNote"/>
          <w:color w:val="000000" w:themeColor="text1"/>
          <w:sz w:val="20"/>
          <w:szCs w:val="16"/>
        </w:rPr>
        <w:footnoteRef/>
      </w:r>
      <w:r w:rsidRPr="00B31D29">
        <w:rPr>
          <w:color w:val="000000" w:themeColor="text1"/>
          <w:sz w:val="20"/>
          <w:szCs w:val="16"/>
        </w:rPr>
        <w:t>.</w:t>
      </w:r>
      <w:r w:rsidRPr="00B31D29">
        <w:rPr>
          <w:color w:val="000000" w:themeColor="text1"/>
          <w:sz w:val="20"/>
          <w:szCs w:val="16"/>
        </w:rPr>
        <w:tab/>
        <w:t xml:space="preserve">Paresh Dave, </w:t>
      </w:r>
      <w:r w:rsidRPr="00B31D29">
        <w:rPr>
          <w:i/>
          <w:color w:val="000000" w:themeColor="text1"/>
          <w:sz w:val="20"/>
          <w:szCs w:val="16"/>
        </w:rPr>
        <w:t>Google Supports U.S. Efforts to Disclose Buyers of Online Political Ads</w:t>
      </w:r>
      <w:r w:rsidRPr="00B31D29">
        <w:rPr>
          <w:color w:val="000000" w:themeColor="text1"/>
          <w:sz w:val="20"/>
          <w:szCs w:val="16"/>
        </w:rPr>
        <w:t xml:space="preserve">, </w:t>
      </w:r>
      <w:r w:rsidRPr="00B31D29">
        <w:rPr>
          <w:smallCaps/>
          <w:color w:val="000000" w:themeColor="text1"/>
          <w:sz w:val="20"/>
          <w:szCs w:val="16"/>
        </w:rPr>
        <w:t>Reuters</w:t>
      </w:r>
      <w:r w:rsidRPr="00B31D29">
        <w:rPr>
          <w:color w:val="000000" w:themeColor="text1"/>
          <w:sz w:val="20"/>
          <w:szCs w:val="16"/>
        </w:rPr>
        <w:t xml:space="preserve"> (Nov. 9, 2017, 6:54 PM), https://www.reuters.com/article/us-usa-trump-russia-socialmedia/</w:t>
      </w:r>
      <w:r w:rsidR="00203FC5" w:rsidRPr="00B31D29">
        <w:rPr>
          <w:color w:val="000000" w:themeColor="text1"/>
          <w:sz w:val="20"/>
          <w:szCs w:val="16"/>
        </w:rPr>
        <w:br/>
      </w:r>
      <w:r w:rsidRPr="00B31D29">
        <w:rPr>
          <w:color w:val="000000" w:themeColor="text1"/>
          <w:sz w:val="20"/>
          <w:szCs w:val="16"/>
        </w:rPr>
        <w:t xml:space="preserve">google-supports-u-s-efforts-to-disclose-buyers-of-online-political-ads-idUSKBN1DA099.  </w:t>
      </w:r>
    </w:p>
  </w:footnote>
  <w:footnote w:id="237">
    <w:p w14:paraId="02638401" w14:textId="07FA9D92"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See </w:t>
      </w:r>
      <w:r w:rsidRPr="00B31D29">
        <w:rPr>
          <w:color w:val="000000" w:themeColor="text1"/>
          <w:sz w:val="20"/>
          <w:szCs w:val="16"/>
        </w:rPr>
        <w:t xml:space="preserve">Bauerly,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_Ref496705330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132</w:t>
      </w:r>
      <w:r w:rsidRPr="00B31D29">
        <w:rPr>
          <w:color w:val="000000" w:themeColor="text1"/>
          <w:sz w:val="20"/>
          <w:szCs w:val="16"/>
        </w:rPr>
        <w:fldChar w:fldCharType="end"/>
      </w:r>
      <w:r w:rsidRPr="00B31D29">
        <w:rPr>
          <w:color w:val="000000" w:themeColor="text1"/>
          <w:sz w:val="20"/>
          <w:szCs w:val="16"/>
        </w:rPr>
        <w:t xml:space="preserve">, at </w:t>
      </w:r>
      <w:r w:rsidRPr="00B31D29">
        <w:rPr>
          <w:bCs/>
          <w:color w:val="000000" w:themeColor="text1"/>
          <w:sz w:val="20"/>
          <w:szCs w:val="16"/>
        </w:rPr>
        <w:t xml:space="preserve">534. </w:t>
      </w:r>
    </w:p>
  </w:footnote>
  <w:footnote w:id="238">
    <w:p w14:paraId="415DE790" w14:textId="6F30B5FC" w:rsidR="00CF426F" w:rsidRPr="00B31D29" w:rsidRDefault="00CF426F" w:rsidP="00BA13DF">
      <w:pPr>
        <w:pStyle w:val="FootNotePara"/>
        <w:ind w:firstLine="0"/>
        <w:rPr>
          <w:color w:val="000000" w:themeColor="text1"/>
          <w:sz w:val="20"/>
        </w:rPr>
      </w:pPr>
      <w:r w:rsidRPr="00B31D29">
        <w:rPr>
          <w:color w:val="000000" w:themeColor="text1"/>
          <w:sz w:val="20"/>
        </w:rPr>
        <w:tab/>
      </w:r>
      <w:r w:rsidRPr="00B31D29">
        <w:rPr>
          <w:rStyle w:val="FootnoteReference"/>
          <w:color w:val="000000" w:themeColor="text1"/>
          <w:sz w:val="20"/>
          <w:vertAlign w:val="baseline"/>
        </w:rPr>
        <w:footnoteRef/>
      </w:r>
      <w:r w:rsidRPr="00B31D29">
        <w:rPr>
          <w:color w:val="000000" w:themeColor="text1"/>
          <w:sz w:val="20"/>
        </w:rPr>
        <w:t>.</w:t>
      </w:r>
      <w:r w:rsidRPr="00B31D29">
        <w:rPr>
          <w:color w:val="000000" w:themeColor="text1"/>
          <w:sz w:val="20"/>
        </w:rPr>
        <w:tab/>
      </w:r>
      <w:r w:rsidRPr="00B31D29">
        <w:rPr>
          <w:i/>
          <w:color w:val="000000" w:themeColor="text1"/>
          <w:sz w:val="20"/>
        </w:rPr>
        <w:t>See supra</w:t>
      </w:r>
      <w:r w:rsidRPr="00B31D29">
        <w:rPr>
          <w:color w:val="000000" w:themeColor="text1"/>
          <w:sz w:val="20"/>
        </w:rPr>
        <w:t xml:space="preserve"> Part II.</w:t>
      </w:r>
    </w:p>
  </w:footnote>
  <w:footnote w:id="239">
    <w:p w14:paraId="4F37115E" w14:textId="70E51738" w:rsidR="00CF426F" w:rsidRPr="00B31D29" w:rsidRDefault="00CF426F" w:rsidP="00BA13DF">
      <w:pPr>
        <w:pStyle w:val="FootNotePara"/>
        <w:ind w:firstLine="0"/>
        <w:rPr>
          <w:color w:val="000000" w:themeColor="text1"/>
          <w:sz w:val="20"/>
        </w:rPr>
      </w:pPr>
      <w:r w:rsidRPr="00B31D29">
        <w:rPr>
          <w:color w:val="000000" w:themeColor="text1"/>
          <w:sz w:val="20"/>
        </w:rPr>
        <w:tab/>
      </w:r>
      <w:r w:rsidRPr="00B31D29">
        <w:rPr>
          <w:rStyle w:val="FootnoteReference"/>
          <w:color w:val="000000" w:themeColor="text1"/>
          <w:sz w:val="20"/>
          <w:vertAlign w:val="baseline"/>
        </w:rPr>
        <w:footnoteRef/>
      </w:r>
      <w:r w:rsidRPr="00B31D29">
        <w:rPr>
          <w:color w:val="000000" w:themeColor="text1"/>
          <w:sz w:val="20"/>
        </w:rPr>
        <w:t>.</w:t>
      </w:r>
      <w:r w:rsidRPr="00B31D29">
        <w:rPr>
          <w:color w:val="000000" w:themeColor="text1"/>
          <w:sz w:val="20"/>
        </w:rPr>
        <w:tab/>
      </w:r>
      <w:r w:rsidRPr="00B31D29">
        <w:rPr>
          <w:bCs/>
          <w:iCs/>
          <w:color w:val="000000" w:themeColor="text1"/>
          <w:sz w:val="20"/>
        </w:rPr>
        <w:t>Buckley v. Valeo</w:t>
      </w:r>
      <w:r w:rsidRPr="00B31D29">
        <w:rPr>
          <w:color w:val="000000" w:themeColor="text1"/>
          <w:sz w:val="20"/>
        </w:rPr>
        <w:t>, 424 U.S. 1, 6</w:t>
      </w:r>
      <w:r w:rsidR="00203FC5" w:rsidRPr="00B31D29">
        <w:rPr>
          <w:color w:val="000000" w:themeColor="text1"/>
          <w:sz w:val="20"/>
        </w:rPr>
        <w:t>6–</w:t>
      </w:r>
      <w:r w:rsidRPr="00B31D29">
        <w:rPr>
          <w:color w:val="000000" w:themeColor="text1"/>
          <w:sz w:val="20"/>
        </w:rPr>
        <w:t>67 (1976) (per curiam).</w:t>
      </w:r>
    </w:p>
  </w:footnote>
  <w:footnote w:id="240">
    <w:p w14:paraId="3ECBDACD" w14:textId="347B9D71"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See</w:t>
      </w:r>
      <w:r w:rsidRPr="00B31D29">
        <w:rPr>
          <w:color w:val="000000" w:themeColor="text1"/>
          <w:sz w:val="20"/>
          <w:szCs w:val="16"/>
        </w:rPr>
        <w:t xml:space="preserve"> </w:t>
      </w:r>
      <w:r w:rsidRPr="00B31D29">
        <w:rPr>
          <w:i/>
          <w:color w:val="000000" w:themeColor="text1"/>
          <w:sz w:val="20"/>
          <w:szCs w:val="16"/>
        </w:rPr>
        <w:t>Show Me the Money</w:t>
      </w:r>
      <w:r w:rsidRPr="00B31D29">
        <w:rPr>
          <w:color w:val="000000" w:themeColor="text1"/>
          <w:sz w:val="20"/>
          <w:szCs w:val="16"/>
        </w:rPr>
        <w:t xml:space="preserve">,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_Ref492481628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6</w:t>
      </w:r>
      <w:r w:rsidRPr="00B31D29">
        <w:rPr>
          <w:color w:val="000000" w:themeColor="text1"/>
          <w:sz w:val="20"/>
          <w:szCs w:val="16"/>
        </w:rPr>
        <w:fldChar w:fldCharType="end"/>
      </w:r>
      <w:r w:rsidRPr="00B31D29">
        <w:rPr>
          <w:color w:val="000000" w:themeColor="text1"/>
          <w:sz w:val="20"/>
          <w:szCs w:val="16"/>
        </w:rPr>
        <w:t xml:space="preserve">, at 23–26. </w:t>
      </w:r>
    </w:p>
  </w:footnote>
  <w:footnote w:id="241">
    <w:p w14:paraId="41638C0A" w14:textId="0553C2C2" w:rsidR="00CF426F" w:rsidRPr="00B31D29" w:rsidRDefault="00CF426F" w:rsidP="00BA13DF">
      <w:pPr>
        <w:pStyle w:val="FootNotePara"/>
        <w:ind w:firstLine="0"/>
        <w:rPr>
          <w:color w:val="000000" w:themeColor="text1"/>
          <w:sz w:val="20"/>
        </w:rPr>
      </w:pPr>
      <w:r w:rsidRPr="00B31D29">
        <w:rPr>
          <w:color w:val="000000" w:themeColor="text1"/>
          <w:sz w:val="20"/>
        </w:rPr>
        <w:tab/>
      </w:r>
      <w:r w:rsidRPr="00B31D29">
        <w:rPr>
          <w:rStyle w:val="FootnoteReference"/>
          <w:color w:val="000000" w:themeColor="text1"/>
          <w:sz w:val="20"/>
          <w:vertAlign w:val="baseline"/>
        </w:rPr>
        <w:footnoteRef/>
      </w:r>
      <w:r w:rsidRPr="00B31D29">
        <w:rPr>
          <w:color w:val="000000" w:themeColor="text1"/>
          <w:sz w:val="20"/>
        </w:rPr>
        <w:t>.</w:t>
      </w:r>
      <w:r w:rsidRPr="00B31D29">
        <w:rPr>
          <w:color w:val="000000" w:themeColor="text1"/>
          <w:sz w:val="20"/>
        </w:rPr>
        <w:tab/>
      </w:r>
      <w:r w:rsidRPr="00B31D29">
        <w:rPr>
          <w:i/>
          <w:color w:val="000000" w:themeColor="text1"/>
          <w:sz w:val="20"/>
        </w:rPr>
        <w:t>See supra</w:t>
      </w:r>
      <w:r w:rsidRPr="00B31D29">
        <w:rPr>
          <w:color w:val="000000" w:themeColor="text1"/>
          <w:sz w:val="20"/>
        </w:rPr>
        <w:t xml:space="preserve"> notes </w:t>
      </w:r>
      <w:r w:rsidRPr="00B31D29">
        <w:rPr>
          <w:color w:val="000000" w:themeColor="text1"/>
          <w:sz w:val="20"/>
        </w:rPr>
        <w:fldChar w:fldCharType="begin"/>
      </w:r>
      <w:r w:rsidRPr="00B31D29">
        <w:rPr>
          <w:color w:val="000000" w:themeColor="text1"/>
          <w:sz w:val="20"/>
        </w:rPr>
        <w:instrText xml:space="preserve"> NOTEREF _Ref504797225 \h </w:instrText>
      </w:r>
      <w:r w:rsidRPr="00B31D29">
        <w:rPr>
          <w:color w:val="000000" w:themeColor="text1"/>
          <w:sz w:val="20"/>
        </w:rPr>
      </w:r>
      <w:r w:rsidR="00B31D29" w:rsidRPr="00B31D29">
        <w:rPr>
          <w:color w:val="000000" w:themeColor="text1"/>
          <w:sz w:val="20"/>
        </w:rPr>
        <w:instrText xml:space="preserve"> \* MERGEFORMAT </w:instrText>
      </w:r>
      <w:r w:rsidRPr="00B31D29">
        <w:rPr>
          <w:color w:val="000000" w:themeColor="text1"/>
          <w:sz w:val="20"/>
        </w:rPr>
        <w:fldChar w:fldCharType="separate"/>
      </w:r>
      <w:r w:rsidR="00203FC5" w:rsidRPr="00B31D29">
        <w:rPr>
          <w:color w:val="000000" w:themeColor="text1"/>
          <w:sz w:val="20"/>
        </w:rPr>
        <w:t>166</w:t>
      </w:r>
      <w:r w:rsidRPr="00B31D29">
        <w:rPr>
          <w:color w:val="000000" w:themeColor="text1"/>
          <w:sz w:val="20"/>
        </w:rPr>
        <w:fldChar w:fldCharType="end"/>
      </w:r>
      <w:r w:rsidRPr="00B31D29">
        <w:rPr>
          <w:color w:val="000000" w:themeColor="text1"/>
          <w:sz w:val="20"/>
        </w:rPr>
        <w:t>–67 and accompanying text.</w:t>
      </w:r>
    </w:p>
  </w:footnote>
  <w:footnote w:id="242">
    <w:p w14:paraId="2D95CC68" w14:textId="6A5A1F33"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For example, the FEC requires that a message authorized but not financed by a candidate must include a disclaimer, such as “</w:t>
      </w:r>
      <w:r w:rsidRPr="00B31D29">
        <w:rPr>
          <w:color w:val="000000" w:themeColor="text1"/>
          <w:sz w:val="20"/>
          <w:szCs w:val="16"/>
          <w:shd w:val="clear" w:color="auto" w:fill="FFFFFF"/>
        </w:rPr>
        <w:t xml:space="preserve">Paid for by the XYZ State Party Committee and authorized by the Sheridan for Congress Committee;” this particular statement contains 80 characters (95 with spaces). </w:t>
      </w:r>
      <w:r w:rsidRPr="00B31D29">
        <w:rPr>
          <w:bCs/>
          <w:i/>
          <w:color w:val="000000" w:themeColor="text1"/>
          <w:sz w:val="20"/>
          <w:szCs w:val="16"/>
          <w:shd w:val="clear" w:color="auto" w:fill="FFFFFF"/>
        </w:rPr>
        <w:t>Special Notices on Political Ads and Solicitations</w:t>
      </w:r>
      <w:r w:rsidRPr="00B31D29">
        <w:rPr>
          <w:bCs/>
          <w:color w:val="000000" w:themeColor="text1"/>
          <w:sz w:val="20"/>
          <w:szCs w:val="16"/>
          <w:shd w:val="clear" w:color="auto" w:fill="FFFFFF"/>
        </w:rPr>
        <w:t xml:space="preserve">, </w:t>
      </w:r>
      <w:r w:rsidRPr="00B31D29">
        <w:rPr>
          <w:smallCaps/>
          <w:color w:val="000000" w:themeColor="text1"/>
          <w:sz w:val="20"/>
          <w:szCs w:val="16"/>
          <w:shd w:val="clear" w:color="auto" w:fill="FFFFFF"/>
        </w:rPr>
        <w:t>Fed. Election Commission</w:t>
      </w:r>
      <w:r w:rsidRPr="00B31D29">
        <w:rPr>
          <w:bCs/>
          <w:color w:val="000000" w:themeColor="text1"/>
          <w:sz w:val="20"/>
          <w:szCs w:val="16"/>
          <w:shd w:val="clear" w:color="auto" w:fill="FFFFFF"/>
        </w:rPr>
        <w:t xml:space="preserve"> (Oct. 2006), </w:t>
      </w:r>
      <w:r w:rsidRPr="00B31D29">
        <w:rPr>
          <w:color w:val="000000" w:themeColor="text1"/>
          <w:sz w:val="20"/>
          <w:szCs w:val="16"/>
          <w:shd w:val="clear" w:color="auto" w:fill="FFFFFF"/>
        </w:rPr>
        <w:t xml:space="preserve">http://www.fec.gov/pages/brochures/notices.shtml#wording. </w:t>
      </w:r>
      <w:r w:rsidRPr="00B31D29">
        <w:rPr>
          <w:i/>
          <w:color w:val="000000" w:themeColor="text1"/>
          <w:sz w:val="20"/>
          <w:szCs w:val="16"/>
          <w:shd w:val="clear" w:color="auto" w:fill="FFFFFF"/>
        </w:rPr>
        <w:t xml:space="preserve">See also </w:t>
      </w:r>
      <w:r w:rsidRPr="00B31D29">
        <w:rPr>
          <w:color w:val="000000" w:themeColor="text1"/>
          <w:sz w:val="20"/>
          <w:szCs w:val="16"/>
          <w:shd w:val="clear" w:color="auto" w:fill="FFFFFF"/>
        </w:rPr>
        <w:t>11 C.F.R. 110.11(b)(2) (2017).</w:t>
      </w:r>
    </w:p>
  </w:footnote>
  <w:footnote w:id="243">
    <w:p w14:paraId="66CF8BC5" w14:textId="7963439F"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See supra </w:t>
      </w:r>
      <w:r w:rsidRPr="00B31D29">
        <w:rPr>
          <w:color w:val="000000" w:themeColor="text1"/>
          <w:sz w:val="20"/>
          <w:szCs w:val="16"/>
        </w:rPr>
        <w:t xml:space="preserve">note </w:t>
      </w:r>
      <w:r w:rsidRPr="00B31D29">
        <w:rPr>
          <w:color w:val="000000" w:themeColor="text1"/>
          <w:sz w:val="20"/>
          <w:szCs w:val="16"/>
        </w:rPr>
        <w:fldChar w:fldCharType="begin"/>
      </w:r>
      <w:r w:rsidRPr="00B31D29">
        <w:rPr>
          <w:color w:val="000000" w:themeColor="text1"/>
          <w:sz w:val="20"/>
          <w:szCs w:val="16"/>
        </w:rPr>
        <w:instrText xml:space="preserve"> NOTEREF _Ref504797074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165</w:t>
      </w:r>
      <w:r w:rsidRPr="00B31D29">
        <w:rPr>
          <w:color w:val="000000" w:themeColor="text1"/>
          <w:sz w:val="20"/>
          <w:szCs w:val="16"/>
        </w:rPr>
        <w:fldChar w:fldCharType="end"/>
      </w:r>
      <w:r w:rsidRPr="00B31D29">
        <w:rPr>
          <w:color w:val="000000" w:themeColor="text1"/>
          <w:sz w:val="20"/>
          <w:szCs w:val="16"/>
        </w:rPr>
        <w:t xml:space="preserve"> and accompanying text. </w:t>
      </w:r>
    </w:p>
  </w:footnote>
  <w:footnote w:id="244">
    <w:p w14:paraId="4331E42D" w14:textId="30926722"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See About Text Ads</w:t>
      </w:r>
      <w:r w:rsidRPr="00B31D29">
        <w:rPr>
          <w:color w:val="000000" w:themeColor="text1"/>
          <w:sz w:val="20"/>
          <w:szCs w:val="16"/>
        </w:rPr>
        <w:t xml:space="preserve">, </w:t>
      </w:r>
      <w:r w:rsidRPr="00B31D29">
        <w:rPr>
          <w:smallCaps/>
          <w:color w:val="000000" w:themeColor="text1"/>
          <w:sz w:val="20"/>
          <w:szCs w:val="16"/>
        </w:rPr>
        <w:t>Google</w:t>
      </w:r>
      <w:r w:rsidRPr="00B31D29">
        <w:rPr>
          <w:color w:val="000000" w:themeColor="text1"/>
          <w:sz w:val="20"/>
          <w:szCs w:val="16"/>
        </w:rPr>
        <w:t xml:space="preserve">, https://support.google.com/adwords/answer/1704389 (last visited Jan. 27, 2017). </w:t>
      </w:r>
    </w:p>
  </w:footnote>
  <w:footnote w:id="245">
    <w:p w14:paraId="0BF4CE1D" w14:textId="70261EF9" w:rsidR="00CF426F" w:rsidRPr="00B31D29" w:rsidRDefault="00CF426F" w:rsidP="00F23A96">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See </w:t>
      </w:r>
      <w:r w:rsidRPr="00B31D29">
        <w:rPr>
          <w:color w:val="000000" w:themeColor="text1"/>
          <w:sz w:val="20"/>
          <w:szCs w:val="16"/>
        </w:rPr>
        <w:t xml:space="preserve">Concurring Statement, </w:t>
      </w:r>
      <w:r w:rsidRPr="00B31D29">
        <w:rPr>
          <w:i/>
          <w:color w:val="000000" w:themeColor="text1"/>
          <w:sz w:val="20"/>
          <w:szCs w:val="16"/>
        </w:rPr>
        <w:t xml:space="preserve">supra </w:t>
      </w:r>
      <w:r w:rsidRPr="00B31D29">
        <w:rPr>
          <w:color w:val="000000" w:themeColor="text1"/>
          <w:sz w:val="20"/>
          <w:szCs w:val="16"/>
        </w:rPr>
        <w:t xml:space="preserve">note </w:t>
      </w:r>
      <w:r w:rsidRPr="00B31D29">
        <w:rPr>
          <w:color w:val="000000" w:themeColor="text1"/>
          <w:sz w:val="20"/>
          <w:szCs w:val="16"/>
        </w:rPr>
        <w:fldChar w:fldCharType="begin"/>
      </w:r>
      <w:r w:rsidRPr="00B31D29">
        <w:rPr>
          <w:color w:val="000000" w:themeColor="text1"/>
          <w:sz w:val="20"/>
          <w:szCs w:val="16"/>
        </w:rPr>
        <w:instrText xml:space="preserve"> NOTEREF _Ref504796087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138</w:t>
      </w:r>
      <w:r w:rsidRPr="00B31D29">
        <w:rPr>
          <w:color w:val="000000" w:themeColor="text1"/>
          <w:sz w:val="20"/>
          <w:szCs w:val="16"/>
        </w:rPr>
        <w:fldChar w:fldCharType="end"/>
      </w:r>
      <w:r w:rsidRPr="00B31D29">
        <w:rPr>
          <w:color w:val="000000" w:themeColor="text1"/>
          <w:sz w:val="20"/>
          <w:szCs w:val="16"/>
        </w:rPr>
        <w:t xml:space="preserve">, at 3. </w:t>
      </w:r>
    </w:p>
  </w:footnote>
  <w:footnote w:id="246">
    <w:p w14:paraId="36E02D37" w14:textId="017F2C2C" w:rsidR="00CF426F" w:rsidRPr="00B31D29" w:rsidRDefault="00CF426F" w:rsidP="0089239F">
      <w:pPr>
        <w:pStyle w:val="FootNotePara"/>
        <w:ind w:firstLine="0"/>
        <w:rPr>
          <w:color w:val="000000" w:themeColor="text1"/>
          <w:sz w:val="20"/>
        </w:rPr>
      </w:pPr>
      <w:r w:rsidRPr="00B31D29">
        <w:rPr>
          <w:color w:val="000000" w:themeColor="text1"/>
          <w:sz w:val="20"/>
        </w:rPr>
        <w:tab/>
      </w:r>
      <w:r w:rsidRPr="00B31D29">
        <w:rPr>
          <w:rStyle w:val="FootnoteReference"/>
          <w:color w:val="000000" w:themeColor="text1"/>
          <w:sz w:val="20"/>
          <w:vertAlign w:val="baseline"/>
        </w:rPr>
        <w:footnoteRef/>
      </w:r>
      <w:r w:rsidRPr="00B31D29">
        <w:rPr>
          <w:color w:val="000000" w:themeColor="text1"/>
          <w:sz w:val="20"/>
        </w:rPr>
        <w:t>.</w:t>
      </w:r>
      <w:r w:rsidRPr="00B31D29">
        <w:rPr>
          <w:color w:val="000000" w:themeColor="text1"/>
          <w:sz w:val="20"/>
        </w:rPr>
        <w:tab/>
      </w:r>
      <w:r w:rsidRPr="00B31D29">
        <w:rPr>
          <w:i/>
          <w:color w:val="000000" w:themeColor="text1"/>
          <w:sz w:val="20"/>
        </w:rPr>
        <w:t xml:space="preserve">See </w:t>
      </w:r>
      <w:r w:rsidRPr="00B31D29">
        <w:rPr>
          <w:color w:val="000000" w:themeColor="text1"/>
          <w:sz w:val="20"/>
          <w:szCs w:val="16"/>
        </w:rPr>
        <w:t>Draft C,</w:t>
      </w:r>
      <w:r w:rsidRPr="00B31D29">
        <w:rPr>
          <w:i/>
          <w:color w:val="000000" w:themeColor="text1"/>
          <w:sz w:val="20"/>
          <w:szCs w:val="16"/>
        </w:rPr>
        <w:t xml:space="preserve"> </w:t>
      </w:r>
      <w:r w:rsidRPr="00B31D29">
        <w:rPr>
          <w:color w:val="000000" w:themeColor="text1"/>
          <w:sz w:val="20"/>
          <w:szCs w:val="16"/>
        </w:rPr>
        <w:t xml:space="preserve">Advisory Opinion 2011-09, </w:t>
      </w:r>
      <w:r w:rsidRPr="00B31D29">
        <w:rPr>
          <w:i/>
          <w:color w:val="000000" w:themeColor="text1"/>
          <w:sz w:val="20"/>
          <w:szCs w:val="16"/>
        </w:rPr>
        <w:t xml:space="preserve">supra </w:t>
      </w:r>
      <w:r w:rsidRPr="00B31D29">
        <w:rPr>
          <w:color w:val="000000" w:themeColor="text1"/>
          <w:sz w:val="20"/>
          <w:szCs w:val="16"/>
        </w:rPr>
        <w:t xml:space="preserve">note </w:t>
      </w:r>
      <w:r w:rsidRPr="00B31D29">
        <w:rPr>
          <w:color w:val="000000" w:themeColor="text1"/>
          <w:sz w:val="20"/>
          <w:szCs w:val="16"/>
        </w:rPr>
        <w:fldChar w:fldCharType="begin"/>
      </w:r>
      <w:r w:rsidRPr="00B31D29">
        <w:rPr>
          <w:color w:val="000000" w:themeColor="text1"/>
          <w:sz w:val="20"/>
          <w:szCs w:val="16"/>
        </w:rPr>
        <w:instrText xml:space="preserve"> NOTEREF _Ref374102734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144</w:t>
      </w:r>
      <w:r w:rsidRPr="00B31D29">
        <w:rPr>
          <w:color w:val="000000" w:themeColor="text1"/>
          <w:sz w:val="20"/>
          <w:szCs w:val="16"/>
        </w:rPr>
        <w:fldChar w:fldCharType="end"/>
      </w:r>
      <w:r w:rsidRPr="00B31D29">
        <w:rPr>
          <w:color w:val="000000" w:themeColor="text1"/>
          <w:sz w:val="20"/>
          <w:szCs w:val="16"/>
        </w:rPr>
        <w:t>, at 9</w:t>
      </w:r>
      <w:r w:rsidRPr="00B31D29">
        <w:rPr>
          <w:color w:val="000000" w:themeColor="text1"/>
          <w:sz w:val="20"/>
        </w:rPr>
        <w:t xml:space="preserve">. </w:t>
      </w:r>
    </w:p>
  </w:footnote>
  <w:footnote w:id="247">
    <w:p w14:paraId="4993F365" w14:textId="03E8E5A6"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smallCaps/>
          <w:color w:val="000000" w:themeColor="text1"/>
          <w:sz w:val="20"/>
          <w:szCs w:val="16"/>
        </w:rPr>
        <w:t>Cal. Code Regs</w:t>
      </w:r>
      <w:r w:rsidRPr="00B31D29">
        <w:rPr>
          <w:color w:val="000000" w:themeColor="text1"/>
          <w:sz w:val="20"/>
          <w:szCs w:val="16"/>
        </w:rPr>
        <w:t xml:space="preserve">. tit. 2, </w:t>
      </w:r>
      <w:r w:rsidRPr="00B31D29">
        <w:rPr>
          <w:bCs/>
          <w:color w:val="000000" w:themeColor="text1"/>
          <w:sz w:val="20"/>
          <w:szCs w:val="16"/>
        </w:rPr>
        <w:t>§ 18450.4(b)(3)(G)(1) (2017).</w:t>
      </w:r>
    </w:p>
  </w:footnote>
  <w:footnote w:id="248">
    <w:p w14:paraId="4BED40C2" w14:textId="606DD23F"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t xml:space="preserve">Political advertisers interested in incorporating games into their campaigns may draw upon an example from Snapchat, which partnered with Gatorade to support Serena Williams’s road to her twenty-third Grand Slam victory by running a mini video game that allowed users to play a short tennis match in the role of Williams. </w:t>
      </w:r>
      <w:r w:rsidRPr="00B31D29">
        <w:rPr>
          <w:i/>
          <w:color w:val="000000" w:themeColor="text1"/>
          <w:sz w:val="20"/>
          <w:szCs w:val="16"/>
        </w:rPr>
        <w:t>See</w:t>
      </w:r>
      <w:r w:rsidRPr="00B31D29">
        <w:rPr>
          <w:color w:val="000000" w:themeColor="text1"/>
          <w:sz w:val="20"/>
          <w:szCs w:val="16"/>
        </w:rPr>
        <w:t xml:space="preserve"> </w:t>
      </w:r>
      <w:r w:rsidRPr="00B31D29">
        <w:rPr>
          <w:i/>
          <w:color w:val="000000" w:themeColor="text1"/>
          <w:sz w:val="20"/>
          <w:szCs w:val="16"/>
        </w:rPr>
        <w:t>Gatorade Success Story</w:t>
      </w:r>
      <w:r w:rsidRPr="00B31D29">
        <w:rPr>
          <w:color w:val="000000" w:themeColor="text1"/>
          <w:sz w:val="20"/>
          <w:szCs w:val="16"/>
        </w:rPr>
        <w:t xml:space="preserve">, </w:t>
      </w:r>
      <w:r w:rsidRPr="00B31D29">
        <w:rPr>
          <w:smallCaps/>
          <w:color w:val="000000" w:themeColor="text1"/>
          <w:sz w:val="20"/>
          <w:szCs w:val="16"/>
        </w:rPr>
        <w:t>Snapchat</w:t>
      </w:r>
      <w:r w:rsidRPr="00B31D29">
        <w:rPr>
          <w:color w:val="000000" w:themeColor="text1"/>
          <w:sz w:val="20"/>
          <w:szCs w:val="16"/>
        </w:rPr>
        <w:t>, https://storage.googleapis.com/</w:t>
      </w:r>
      <w:r w:rsidRPr="00B31D29">
        <w:rPr>
          <w:color w:val="000000" w:themeColor="text1"/>
          <w:sz w:val="20"/>
          <w:szCs w:val="16"/>
        </w:rPr>
        <w:br/>
        <w:t xml:space="preserve">snapchat-web/success-stories/pdf/pdf_gatorade_snapads_en.pdf (last visited Jan. 27, 2018). </w:t>
      </w:r>
    </w:p>
  </w:footnote>
  <w:footnote w:id="249">
    <w:p w14:paraId="67DA2EDC" w14:textId="06CE5540"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See </w:t>
      </w:r>
      <w:r w:rsidRPr="00B31D29">
        <w:rPr>
          <w:color w:val="000000" w:themeColor="text1"/>
          <w:sz w:val="20"/>
          <w:szCs w:val="16"/>
        </w:rPr>
        <w:t xml:space="preserve">Heerwig &amp; Shaw,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_Ref492481628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6</w:t>
      </w:r>
      <w:r w:rsidRPr="00B31D29">
        <w:rPr>
          <w:color w:val="000000" w:themeColor="text1"/>
          <w:sz w:val="20"/>
          <w:szCs w:val="16"/>
        </w:rPr>
        <w:fldChar w:fldCharType="end"/>
      </w:r>
      <w:r w:rsidRPr="00B31D29">
        <w:rPr>
          <w:color w:val="000000" w:themeColor="text1"/>
          <w:sz w:val="20"/>
          <w:szCs w:val="16"/>
        </w:rPr>
        <w:t>, at 1477–78; Press Release, Pub. Citizen, Roiled in Partisan Deadlock, Federal Election Commission Is Failing (2012), https://www.citizen.org/</w:t>
      </w:r>
      <w:r w:rsidRPr="00B31D29">
        <w:rPr>
          <w:color w:val="000000" w:themeColor="text1"/>
          <w:sz w:val="20"/>
          <w:szCs w:val="16"/>
        </w:rPr>
        <w:br/>
        <w:t>sites/default/files/fec-deadlock-press-statement.pdf (explaining the even-numbered, bipartisan structure of the FEC, which makes it difficult for the Agency to reach a consensus on challenging matters).</w:t>
      </w:r>
    </w:p>
  </w:footnote>
  <w:footnote w:id="250">
    <w:p w14:paraId="3844ACB4" w14:textId="75D048C2"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 xml:space="preserve">See supra </w:t>
      </w:r>
      <w:r w:rsidRPr="00B31D29">
        <w:rPr>
          <w:color w:val="000000" w:themeColor="text1"/>
          <w:sz w:val="20"/>
          <w:szCs w:val="16"/>
        </w:rPr>
        <w:t xml:space="preserve">Part III.B. </w:t>
      </w:r>
    </w:p>
  </w:footnote>
  <w:footnote w:id="251">
    <w:p w14:paraId="3DA235C1" w14:textId="5A32EDE8"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See</w:t>
      </w:r>
      <w:r w:rsidRPr="00B31D29">
        <w:rPr>
          <w:color w:val="000000" w:themeColor="text1"/>
          <w:sz w:val="20"/>
          <w:szCs w:val="16"/>
        </w:rPr>
        <w:t xml:space="preserve"> Rogers &amp; Bromwich,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_Ref374127512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7</w:t>
      </w:r>
      <w:r w:rsidRPr="00B31D29">
        <w:rPr>
          <w:color w:val="000000" w:themeColor="text1"/>
          <w:sz w:val="20"/>
          <w:szCs w:val="16"/>
        </w:rPr>
        <w:fldChar w:fldCharType="end"/>
      </w:r>
      <w:r w:rsidRPr="00B31D29">
        <w:rPr>
          <w:color w:val="000000" w:themeColor="text1"/>
          <w:sz w:val="20"/>
          <w:szCs w:val="16"/>
        </w:rPr>
        <w:t xml:space="preserve">; Silverman,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_Ref374127512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7</w:t>
      </w:r>
      <w:r w:rsidRPr="00B31D29">
        <w:rPr>
          <w:color w:val="000000" w:themeColor="text1"/>
          <w:sz w:val="20"/>
          <w:szCs w:val="16"/>
        </w:rPr>
        <w:fldChar w:fldCharType="end"/>
      </w:r>
      <w:r w:rsidRPr="00B31D29">
        <w:rPr>
          <w:color w:val="000000" w:themeColor="text1"/>
          <w:sz w:val="20"/>
          <w:szCs w:val="16"/>
        </w:rPr>
        <w:t xml:space="preserve">. </w:t>
      </w:r>
    </w:p>
  </w:footnote>
  <w:footnote w:id="252">
    <w:p w14:paraId="12F50814" w14:textId="6EDDB25C" w:rsidR="00CF426F" w:rsidRPr="00B31D29" w:rsidRDefault="00CF426F" w:rsidP="00637AD3">
      <w:pPr>
        <w:pStyle w:val="FootNote"/>
        <w:widowControl w:val="0"/>
        <w:rPr>
          <w:color w:val="000000" w:themeColor="text1"/>
          <w:sz w:val="20"/>
        </w:rPr>
      </w:pPr>
      <w:r w:rsidRPr="00B31D29">
        <w:rPr>
          <w:color w:val="000000" w:themeColor="text1"/>
          <w:sz w:val="20"/>
          <w:szCs w:val="16"/>
        </w:rPr>
        <w:tab/>
      </w:r>
      <w:r w:rsidRPr="00B31D29">
        <w:rPr>
          <w:rStyle w:val="NoterefInNote"/>
          <w:color w:val="000000" w:themeColor="text1"/>
          <w:sz w:val="20"/>
        </w:rPr>
        <w:footnoteRef/>
      </w:r>
      <w:r w:rsidRPr="00B31D29">
        <w:rPr>
          <w:color w:val="000000" w:themeColor="text1"/>
          <w:sz w:val="20"/>
          <w:szCs w:val="16"/>
        </w:rPr>
        <w:t>.</w:t>
      </w:r>
      <w:r w:rsidRPr="00B31D29">
        <w:rPr>
          <w:color w:val="000000" w:themeColor="text1"/>
          <w:sz w:val="20"/>
          <w:szCs w:val="16"/>
        </w:rPr>
        <w:tab/>
      </w:r>
      <w:r w:rsidRPr="00B31D29">
        <w:rPr>
          <w:i/>
          <w:color w:val="000000" w:themeColor="text1"/>
          <w:sz w:val="20"/>
          <w:szCs w:val="16"/>
        </w:rPr>
        <w:t>See</w:t>
      </w:r>
      <w:r w:rsidRPr="00B31D29">
        <w:rPr>
          <w:color w:val="000000" w:themeColor="text1"/>
          <w:sz w:val="20"/>
          <w:szCs w:val="16"/>
        </w:rPr>
        <w:t xml:space="preserve"> </w:t>
      </w:r>
      <w:r w:rsidRPr="00B31D29">
        <w:rPr>
          <w:i/>
          <w:color w:val="000000" w:themeColor="text1"/>
          <w:sz w:val="20"/>
          <w:szCs w:val="16"/>
        </w:rPr>
        <w:t>Show Me the Money</w:t>
      </w:r>
      <w:r w:rsidRPr="00B31D29">
        <w:rPr>
          <w:color w:val="000000" w:themeColor="text1"/>
          <w:sz w:val="20"/>
          <w:szCs w:val="16"/>
        </w:rPr>
        <w:t xml:space="preserve">, </w:t>
      </w:r>
      <w:r w:rsidRPr="00B31D29">
        <w:rPr>
          <w:i/>
          <w:color w:val="000000" w:themeColor="text1"/>
          <w:sz w:val="20"/>
          <w:szCs w:val="16"/>
        </w:rPr>
        <w:t>supra</w:t>
      </w:r>
      <w:r w:rsidRPr="00B31D29">
        <w:rPr>
          <w:color w:val="000000" w:themeColor="text1"/>
          <w:sz w:val="20"/>
          <w:szCs w:val="16"/>
        </w:rPr>
        <w:t xml:space="preserve"> note </w:t>
      </w:r>
      <w:r w:rsidRPr="00B31D29">
        <w:rPr>
          <w:color w:val="000000" w:themeColor="text1"/>
          <w:sz w:val="20"/>
          <w:szCs w:val="16"/>
        </w:rPr>
        <w:fldChar w:fldCharType="begin"/>
      </w:r>
      <w:r w:rsidRPr="00B31D29">
        <w:rPr>
          <w:color w:val="000000" w:themeColor="text1"/>
          <w:sz w:val="20"/>
          <w:szCs w:val="16"/>
        </w:rPr>
        <w:instrText xml:space="preserve"> NOTEREF _Ref492481628 \h </w:instrText>
      </w:r>
      <w:r w:rsidRPr="00B31D29">
        <w:rPr>
          <w:color w:val="000000" w:themeColor="text1"/>
          <w:sz w:val="20"/>
          <w:szCs w:val="16"/>
        </w:rPr>
      </w:r>
      <w:r w:rsidR="00B31D29" w:rsidRPr="00B31D29">
        <w:rPr>
          <w:color w:val="000000" w:themeColor="text1"/>
          <w:sz w:val="20"/>
          <w:szCs w:val="16"/>
        </w:rPr>
        <w:instrText xml:space="preserve"> \* MERGEFORMAT </w:instrText>
      </w:r>
      <w:r w:rsidRPr="00B31D29">
        <w:rPr>
          <w:color w:val="000000" w:themeColor="text1"/>
          <w:sz w:val="20"/>
          <w:szCs w:val="16"/>
        </w:rPr>
        <w:fldChar w:fldCharType="separate"/>
      </w:r>
      <w:r w:rsidR="00203FC5" w:rsidRPr="00B31D29">
        <w:rPr>
          <w:color w:val="000000" w:themeColor="text1"/>
          <w:sz w:val="20"/>
          <w:szCs w:val="16"/>
        </w:rPr>
        <w:t>6</w:t>
      </w:r>
      <w:r w:rsidRPr="00B31D29">
        <w:rPr>
          <w:color w:val="000000" w:themeColor="text1"/>
          <w:sz w:val="20"/>
          <w:szCs w:val="16"/>
        </w:rPr>
        <w:fldChar w:fldCharType="end"/>
      </w:r>
      <w:r w:rsidRPr="00B31D29">
        <w:rPr>
          <w:color w:val="000000" w:themeColor="text1"/>
          <w:sz w:val="20"/>
          <w:szCs w:val="16"/>
        </w:rPr>
        <w:t xml:space="preserve">, at 23–26.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C82D9" w14:textId="216D7138" w:rsidR="00CF426F" w:rsidRDefault="004406D7" w:rsidP="00873413">
    <w:pPr>
      <w:pStyle w:val="header0"/>
    </w:pPr>
    <w:r>
      <w:fldChar w:fldCharType="begin"/>
    </w:r>
    <w:r>
      <w:instrText xml:space="preserve"> FILENAME  \* MERGEFORMAT </w:instrText>
    </w:r>
    <w:r>
      <w:fldChar w:fldCharType="separate"/>
    </w:r>
    <w:r w:rsidR="00203FC5">
      <w:rPr>
        <w:noProof/>
      </w:rPr>
      <w:t>Dykhne_jci.docx</w:t>
    </w:r>
    <w:r>
      <w:rPr>
        <w:noProof/>
      </w:rPr>
      <w:fldChar w:fldCharType="end"/>
    </w:r>
    <w:r w:rsidR="00CF426F">
      <w:t xml:space="preserve"> (Do Not Delete)</w:t>
    </w:r>
    <w:r w:rsidR="00CF426F">
      <w:tab/>
    </w:r>
    <w:r>
      <w:fldChar w:fldCharType="begin"/>
    </w:r>
    <w:r>
      <w:instrText xml:space="preserve"> DATE  \l </w:instrText>
    </w:r>
    <w:r>
      <w:fldChar w:fldCharType="separate"/>
    </w:r>
    <w:r w:rsidR="00B31D29">
      <w:rPr>
        <w:noProof/>
      </w:rPr>
      <w:t>2/20/18</w:t>
    </w:r>
    <w:r>
      <w:rPr>
        <w:noProof/>
        <w:lang w:val="x-none"/>
      </w:rPr>
      <w:fldChar w:fldCharType="end"/>
    </w:r>
    <w:r w:rsidR="00CF426F">
      <w:t xml:space="preserve">  </w:t>
    </w:r>
    <w:r>
      <w:fldChar w:fldCharType="begin"/>
    </w:r>
    <w:r>
      <w:instrText xml:space="preserve"> TIME </w:instrText>
    </w:r>
    <w:r>
      <w:fldChar w:fldCharType="separate"/>
    </w:r>
    <w:r w:rsidR="00B31D29">
      <w:rPr>
        <w:noProof/>
      </w:rPr>
      <w:t>4:19 PM</w:t>
    </w:r>
    <w:r>
      <w:rPr>
        <w:noProof/>
      </w:rPr>
      <w:fldChar w:fldCharType="end"/>
    </w:r>
  </w:p>
  <w:p w14:paraId="1C5CB84E" w14:textId="459DC213" w:rsidR="00CF426F" w:rsidRDefault="00CF426F" w:rsidP="00BA13DF">
    <w:pPr>
      <w:pStyle w:val="Header"/>
      <w:tabs>
        <w:tab w:val="clear" w:pos="4320"/>
        <w:tab w:val="clear" w:pos="8640"/>
        <w:tab w:val="center" w:pos="3300"/>
        <w:tab w:val="right" w:pos="6720"/>
      </w:tabs>
      <w:spacing w:before="720" w:after="240" w:line="200" w:lineRule="exact"/>
      <w:jc w:val="both"/>
    </w:pPr>
    <w:r w:rsidRPr="00685704">
      <w:rPr>
        <w:rStyle w:val="PageNumber"/>
        <w:sz w:val="20"/>
        <w:szCs w:val="20"/>
      </w:rPr>
      <w:fldChar w:fldCharType="begin"/>
    </w:r>
    <w:r w:rsidRPr="00685704">
      <w:rPr>
        <w:rStyle w:val="PageNumber"/>
        <w:sz w:val="20"/>
        <w:szCs w:val="20"/>
      </w:rPr>
      <w:instrText xml:space="preserve"> PAGE </w:instrText>
    </w:r>
    <w:r w:rsidRPr="00685704">
      <w:rPr>
        <w:rStyle w:val="PageNumber"/>
        <w:sz w:val="20"/>
        <w:szCs w:val="20"/>
      </w:rPr>
      <w:fldChar w:fldCharType="separate"/>
    </w:r>
    <w:r w:rsidR="00153BAA">
      <w:rPr>
        <w:rStyle w:val="PageNumber"/>
        <w:noProof/>
        <w:sz w:val="20"/>
        <w:szCs w:val="20"/>
      </w:rPr>
      <w:t>368</w:t>
    </w:r>
    <w:r w:rsidRPr="00685704">
      <w:rPr>
        <w:rStyle w:val="PageNumber"/>
        <w:sz w:val="20"/>
        <w:szCs w:val="20"/>
      </w:rPr>
      <w:fldChar w:fldCharType="end"/>
    </w:r>
    <w:r w:rsidRPr="00685704">
      <w:rPr>
        <w:rStyle w:val="PageNumber"/>
        <w:sz w:val="20"/>
        <w:szCs w:val="20"/>
      </w:rPr>
      <w:tab/>
    </w:r>
    <w:r w:rsidRPr="00685704">
      <w:rPr>
        <w:rStyle w:val="PageNumber"/>
        <w:i/>
        <w:sz w:val="20"/>
        <w:szCs w:val="20"/>
      </w:rPr>
      <w:t>SOUTHERN CALIFORNIA LAW REVIEW</w:t>
    </w:r>
    <w:r w:rsidRPr="00685704">
      <w:rPr>
        <w:rStyle w:val="PageNumber"/>
        <w:sz w:val="20"/>
        <w:szCs w:val="20"/>
      </w:rPr>
      <w:tab/>
      <w:t>[Vol. 91:3</w:t>
    </w:r>
    <w:r>
      <w:rPr>
        <w:rStyle w:val="PageNumber"/>
        <w:sz w:val="20"/>
        <w:szCs w:val="20"/>
      </w:rPr>
      <w:t>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6DA30" w14:textId="253318E7" w:rsidR="00CF426F" w:rsidRDefault="004406D7" w:rsidP="00873413">
    <w:pPr>
      <w:pStyle w:val="header0"/>
    </w:pPr>
    <w:r>
      <w:fldChar w:fldCharType="begin"/>
    </w:r>
    <w:r>
      <w:instrText xml:space="preserve"> FILENAME  \* MERGEFORMAT </w:instrText>
    </w:r>
    <w:r>
      <w:fldChar w:fldCharType="separate"/>
    </w:r>
    <w:r w:rsidR="00203FC5">
      <w:rPr>
        <w:noProof/>
      </w:rPr>
      <w:t>Dykhne_jci.docx</w:t>
    </w:r>
    <w:r>
      <w:rPr>
        <w:noProof/>
      </w:rPr>
      <w:fldChar w:fldCharType="end"/>
    </w:r>
    <w:r w:rsidR="00CF426F">
      <w:t xml:space="preserve"> (Do Not Delete)</w:t>
    </w:r>
    <w:r w:rsidR="00CF426F">
      <w:tab/>
    </w:r>
    <w:r>
      <w:fldChar w:fldCharType="begin"/>
    </w:r>
    <w:r>
      <w:instrText xml:space="preserve"> DATE  \l </w:instrText>
    </w:r>
    <w:r>
      <w:fldChar w:fldCharType="separate"/>
    </w:r>
    <w:r w:rsidR="00B31D29">
      <w:rPr>
        <w:noProof/>
      </w:rPr>
      <w:t>2/20/18</w:t>
    </w:r>
    <w:r>
      <w:rPr>
        <w:noProof/>
        <w:lang w:val="x-none"/>
      </w:rPr>
      <w:fldChar w:fldCharType="end"/>
    </w:r>
    <w:r w:rsidR="00CF426F">
      <w:t xml:space="preserve">  </w:t>
    </w:r>
    <w:r>
      <w:fldChar w:fldCharType="begin"/>
    </w:r>
    <w:r>
      <w:instrText xml:space="preserve"> TIME </w:instrText>
    </w:r>
    <w:r>
      <w:fldChar w:fldCharType="separate"/>
    </w:r>
    <w:r w:rsidR="00B31D29">
      <w:rPr>
        <w:noProof/>
      </w:rPr>
      <w:t>4:19 PM</w:t>
    </w:r>
    <w:r>
      <w:rPr>
        <w:noProof/>
      </w:rPr>
      <w:fldChar w:fldCharType="end"/>
    </w:r>
  </w:p>
  <w:p w14:paraId="7FDD26DF" w14:textId="789287C3" w:rsidR="00CF426F" w:rsidRPr="00685704" w:rsidRDefault="00CF426F">
    <w:pPr>
      <w:pStyle w:val="Header"/>
      <w:tabs>
        <w:tab w:val="clear" w:pos="4320"/>
        <w:tab w:val="clear" w:pos="8640"/>
        <w:tab w:val="center" w:pos="3300"/>
        <w:tab w:val="right" w:pos="6720"/>
      </w:tabs>
      <w:spacing w:before="720" w:after="240" w:line="200" w:lineRule="exact"/>
      <w:jc w:val="both"/>
      <w:rPr>
        <w:sz w:val="20"/>
        <w:szCs w:val="20"/>
      </w:rPr>
    </w:pPr>
    <w:r w:rsidRPr="00685704">
      <w:rPr>
        <w:sz w:val="20"/>
        <w:szCs w:val="20"/>
      </w:rPr>
      <w:t>2018]</w:t>
    </w:r>
    <w:r w:rsidRPr="00685704">
      <w:rPr>
        <w:sz w:val="20"/>
        <w:szCs w:val="20"/>
      </w:rPr>
      <w:tab/>
    </w:r>
    <w:r w:rsidRPr="00685704">
      <w:rPr>
        <w:i/>
        <w:sz w:val="20"/>
        <w:szCs w:val="20"/>
      </w:rPr>
      <w:t>P</w:t>
    </w:r>
    <w:r>
      <w:rPr>
        <w:i/>
        <w:sz w:val="20"/>
        <w:szCs w:val="20"/>
      </w:rPr>
      <w:t>ERSUASIVE OR DECEPTIVE?</w:t>
    </w:r>
    <w:r w:rsidRPr="00685704">
      <w:rPr>
        <w:sz w:val="20"/>
        <w:szCs w:val="20"/>
      </w:rPr>
      <w:tab/>
    </w:r>
    <w:r w:rsidRPr="00685704">
      <w:rPr>
        <w:rStyle w:val="PageNumber"/>
        <w:sz w:val="20"/>
        <w:szCs w:val="20"/>
      </w:rPr>
      <w:fldChar w:fldCharType="begin"/>
    </w:r>
    <w:r w:rsidRPr="00685704">
      <w:rPr>
        <w:rStyle w:val="PageNumber"/>
        <w:sz w:val="20"/>
        <w:szCs w:val="20"/>
      </w:rPr>
      <w:instrText xml:space="preserve"> PAGE </w:instrText>
    </w:r>
    <w:r w:rsidRPr="00685704">
      <w:rPr>
        <w:rStyle w:val="PageNumber"/>
        <w:sz w:val="20"/>
        <w:szCs w:val="20"/>
      </w:rPr>
      <w:fldChar w:fldCharType="separate"/>
    </w:r>
    <w:r w:rsidR="00153BAA">
      <w:rPr>
        <w:rStyle w:val="PageNumber"/>
        <w:noProof/>
        <w:sz w:val="20"/>
        <w:szCs w:val="20"/>
      </w:rPr>
      <w:t>367</w:t>
    </w:r>
    <w:r w:rsidRPr="00685704">
      <w:rPr>
        <w:rStyle w:val="PageNumber"/>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6763" w14:textId="1EDCD1DB" w:rsidR="00CF426F" w:rsidRDefault="004406D7" w:rsidP="00873413">
    <w:pPr>
      <w:pStyle w:val="header0"/>
    </w:pPr>
    <w:r>
      <w:fldChar w:fldCharType="begin"/>
    </w:r>
    <w:r>
      <w:instrText xml:space="preserve"> FILENAME  \* MERGEFORMAT </w:instrText>
    </w:r>
    <w:r>
      <w:fldChar w:fldCharType="separate"/>
    </w:r>
    <w:r w:rsidR="00203FC5">
      <w:rPr>
        <w:noProof/>
      </w:rPr>
      <w:t>Dykhne_jci.docx</w:t>
    </w:r>
    <w:r>
      <w:rPr>
        <w:noProof/>
      </w:rPr>
      <w:fldChar w:fldCharType="end"/>
    </w:r>
    <w:r w:rsidR="00CF426F">
      <w:t xml:space="preserve"> (Do Not Delete)</w:t>
    </w:r>
    <w:r w:rsidR="00CF426F">
      <w:tab/>
    </w:r>
    <w:r>
      <w:fldChar w:fldCharType="begin"/>
    </w:r>
    <w:r>
      <w:instrText xml:space="preserve"> DATE  \l </w:instrText>
    </w:r>
    <w:r>
      <w:fldChar w:fldCharType="separate"/>
    </w:r>
    <w:r w:rsidR="00B31D29">
      <w:rPr>
        <w:noProof/>
      </w:rPr>
      <w:t>2/20/18</w:t>
    </w:r>
    <w:r>
      <w:rPr>
        <w:noProof/>
        <w:lang w:val="x-none"/>
      </w:rPr>
      <w:fldChar w:fldCharType="end"/>
    </w:r>
    <w:r w:rsidR="00CF426F">
      <w:t xml:space="preserve"> </w:t>
    </w:r>
    <w:r>
      <w:fldChar w:fldCharType="begin"/>
    </w:r>
    <w:r>
      <w:instrText xml:space="preserve"> TIME </w:instrText>
    </w:r>
    <w:r>
      <w:fldChar w:fldCharType="separate"/>
    </w:r>
    <w:r w:rsidR="00B31D29">
      <w:rPr>
        <w:noProof/>
      </w:rPr>
      <w:t>4:19 PM</w:t>
    </w:r>
    <w:r>
      <w:rPr>
        <w:noProof/>
      </w:rPr>
      <w:fldChar w:fldCharType="end"/>
    </w:r>
  </w:p>
  <w:p w14:paraId="28C5193B" w14:textId="77777777" w:rsidR="00CF426F" w:rsidRDefault="00CF426F">
    <w:pPr>
      <w:pStyle w:val="Header"/>
      <w:tabs>
        <w:tab w:val="clear" w:pos="4320"/>
        <w:tab w:val="clear" w:pos="8640"/>
        <w:tab w:val="right" w:pos="6720"/>
      </w:tabs>
      <w:spacing w:before="720" w:after="720" w:line="200" w:lineRule="exact"/>
      <w:jc w:val="both"/>
    </w:pPr>
  </w:p>
  <w:p w14:paraId="2C65C53A" w14:textId="77777777" w:rsidR="00CF426F" w:rsidRDefault="00CF42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38B6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3EC5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7C7B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E94B6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1E42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D49B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74F8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5CDE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90E7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641D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3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CB7E67"/>
    <w:multiLevelType w:val="hybridMultilevel"/>
    <w:tmpl w:val="2AC41178"/>
    <w:lvl w:ilvl="0" w:tplc="04090001">
      <w:start w:val="1"/>
      <w:numFmt w:val="bullet"/>
      <w:lvlText w:val=""/>
      <w:lvlJc w:val="left"/>
      <w:pPr>
        <w:ind w:left="779" w:hanging="360"/>
      </w:pPr>
      <w:rPr>
        <w:rFonts w:ascii="Symbol" w:hAnsi="Symbol" w:hint="default"/>
      </w:rPr>
    </w:lvl>
    <w:lvl w:ilvl="1" w:tplc="04090003">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2" w15:restartNumberingAfterBreak="0">
    <w:nsid w:val="069F2118"/>
    <w:multiLevelType w:val="hybridMultilevel"/>
    <w:tmpl w:val="A35ED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9F372B4"/>
    <w:multiLevelType w:val="hybridMultilevel"/>
    <w:tmpl w:val="5B80DA7E"/>
    <w:lvl w:ilvl="0" w:tplc="4D6A5B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C87458C"/>
    <w:multiLevelType w:val="hybridMultilevel"/>
    <w:tmpl w:val="7E46C6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0D7324BB"/>
    <w:multiLevelType w:val="hybridMultilevel"/>
    <w:tmpl w:val="A33A9312"/>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0DD60272"/>
    <w:multiLevelType w:val="singleLevel"/>
    <w:tmpl w:val="EF60DC88"/>
    <w:lvl w:ilvl="0">
      <w:start w:val="1"/>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17" w15:restartNumberingAfterBreak="0">
    <w:nsid w:val="0DF34E27"/>
    <w:multiLevelType w:val="hybridMultilevel"/>
    <w:tmpl w:val="DA082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56F01DB"/>
    <w:multiLevelType w:val="hybridMultilevel"/>
    <w:tmpl w:val="EFAE8382"/>
    <w:lvl w:ilvl="0" w:tplc="5470A386">
      <w:start w:val="1"/>
      <w:numFmt w:val="upperLetter"/>
      <w:lvlText w:val="%1."/>
      <w:lvlJc w:val="left"/>
      <w:pPr>
        <w:ind w:left="4020" w:hanging="360"/>
      </w:pPr>
      <w:rPr>
        <w:rFonts w:hint="default"/>
      </w:rPr>
    </w:lvl>
    <w:lvl w:ilvl="1" w:tplc="04090019" w:tentative="1">
      <w:start w:val="1"/>
      <w:numFmt w:val="lowerLetter"/>
      <w:lvlText w:val="%2."/>
      <w:lvlJc w:val="left"/>
      <w:pPr>
        <w:ind w:left="4740" w:hanging="360"/>
      </w:pPr>
    </w:lvl>
    <w:lvl w:ilvl="2" w:tplc="0409001B" w:tentative="1">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abstractNum w:abstractNumId="19" w15:restartNumberingAfterBreak="0">
    <w:nsid w:val="174741AF"/>
    <w:multiLevelType w:val="hybridMultilevel"/>
    <w:tmpl w:val="27A66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2C43DE"/>
    <w:multiLevelType w:val="hybridMultilevel"/>
    <w:tmpl w:val="96282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817EA"/>
    <w:multiLevelType w:val="multilevel"/>
    <w:tmpl w:val="29EA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E32114"/>
    <w:multiLevelType w:val="hybridMultilevel"/>
    <w:tmpl w:val="7C6C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074152"/>
    <w:multiLevelType w:val="hybridMultilevel"/>
    <w:tmpl w:val="FEB2A1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CB718C8"/>
    <w:multiLevelType w:val="hybridMultilevel"/>
    <w:tmpl w:val="B904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534C20"/>
    <w:multiLevelType w:val="hybridMultilevel"/>
    <w:tmpl w:val="6684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E64AE3"/>
    <w:multiLevelType w:val="hybridMultilevel"/>
    <w:tmpl w:val="4AC4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AE40CF"/>
    <w:multiLevelType w:val="hybridMultilevel"/>
    <w:tmpl w:val="2B864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845BFC"/>
    <w:multiLevelType w:val="hybridMultilevel"/>
    <w:tmpl w:val="7E40E0B2"/>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438F0E7C"/>
    <w:multiLevelType w:val="hybridMultilevel"/>
    <w:tmpl w:val="DA707AF4"/>
    <w:lvl w:ilvl="0" w:tplc="53C04C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1032DD"/>
    <w:multiLevelType w:val="hybridMultilevel"/>
    <w:tmpl w:val="B482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6440B2"/>
    <w:multiLevelType w:val="hybridMultilevel"/>
    <w:tmpl w:val="3B1E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35282E"/>
    <w:multiLevelType w:val="hybridMultilevel"/>
    <w:tmpl w:val="81065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851E5A"/>
    <w:multiLevelType w:val="hybridMultilevel"/>
    <w:tmpl w:val="517089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977D35"/>
    <w:multiLevelType w:val="hybridMultilevel"/>
    <w:tmpl w:val="7D906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6F2338"/>
    <w:multiLevelType w:val="hybridMultilevel"/>
    <w:tmpl w:val="A1FE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A859F7"/>
    <w:multiLevelType w:val="hybridMultilevel"/>
    <w:tmpl w:val="9454C666"/>
    <w:lvl w:ilvl="0" w:tplc="3B8CEA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DF301DB"/>
    <w:multiLevelType w:val="hybridMultilevel"/>
    <w:tmpl w:val="8F46E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00611C"/>
    <w:multiLevelType w:val="hybridMultilevel"/>
    <w:tmpl w:val="535A0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9170BA"/>
    <w:multiLevelType w:val="hybridMultilevel"/>
    <w:tmpl w:val="9B64B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AA5C83"/>
    <w:multiLevelType w:val="hybridMultilevel"/>
    <w:tmpl w:val="687CD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87669"/>
    <w:multiLevelType w:val="hybridMultilevel"/>
    <w:tmpl w:val="27266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154130"/>
    <w:multiLevelType w:val="hybridMultilevel"/>
    <w:tmpl w:val="CC5C7E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
  </w:num>
  <w:num w:numId="3">
    <w:abstractNumId w:val="9"/>
  </w:num>
  <w:num w:numId="4">
    <w:abstractNumId w:val="7"/>
  </w:num>
  <w:num w:numId="5">
    <w:abstractNumId w:val="6"/>
  </w:num>
  <w:num w:numId="6">
    <w:abstractNumId w:val="5"/>
  </w:num>
  <w:num w:numId="7">
    <w:abstractNumId w:val="4"/>
  </w:num>
  <w:num w:numId="8">
    <w:abstractNumId w:val="8"/>
  </w:num>
  <w:num w:numId="9">
    <w:abstractNumId w:val="2"/>
  </w:num>
  <w:num w:numId="10">
    <w:abstractNumId w:val="1"/>
  </w:num>
  <w:num w:numId="11">
    <w:abstractNumId w:val="0"/>
  </w:num>
  <w:num w:numId="12">
    <w:abstractNumId w:val="3"/>
  </w:num>
  <w:num w:numId="13">
    <w:abstractNumId w:val="13"/>
  </w:num>
  <w:num w:numId="14">
    <w:abstractNumId w:val="37"/>
  </w:num>
  <w:num w:numId="15">
    <w:abstractNumId w:val="42"/>
  </w:num>
  <w:num w:numId="16">
    <w:abstractNumId w:val="14"/>
  </w:num>
  <w:num w:numId="17">
    <w:abstractNumId w:val="23"/>
  </w:num>
  <w:num w:numId="18">
    <w:abstractNumId w:val="26"/>
  </w:num>
  <w:num w:numId="19">
    <w:abstractNumId w:val="35"/>
  </w:num>
  <w:num w:numId="20">
    <w:abstractNumId w:val="11"/>
  </w:num>
  <w:num w:numId="21">
    <w:abstractNumId w:val="25"/>
  </w:num>
  <w:num w:numId="22">
    <w:abstractNumId w:val="31"/>
  </w:num>
  <w:num w:numId="23">
    <w:abstractNumId w:val="22"/>
  </w:num>
  <w:num w:numId="24">
    <w:abstractNumId w:val="12"/>
  </w:num>
  <w:num w:numId="25">
    <w:abstractNumId w:val="34"/>
  </w:num>
  <w:num w:numId="26">
    <w:abstractNumId w:val="30"/>
  </w:num>
  <w:num w:numId="27">
    <w:abstractNumId w:val="20"/>
  </w:num>
  <w:num w:numId="28">
    <w:abstractNumId w:val="24"/>
  </w:num>
  <w:num w:numId="29">
    <w:abstractNumId w:val="21"/>
  </w:num>
  <w:num w:numId="30">
    <w:abstractNumId w:val="29"/>
  </w:num>
  <w:num w:numId="31">
    <w:abstractNumId w:val="18"/>
  </w:num>
  <w:num w:numId="32">
    <w:abstractNumId w:val="19"/>
  </w:num>
  <w:num w:numId="33">
    <w:abstractNumId w:val="28"/>
  </w:num>
  <w:num w:numId="34">
    <w:abstractNumId w:val="15"/>
  </w:num>
  <w:num w:numId="35">
    <w:abstractNumId w:val="40"/>
  </w:num>
  <w:num w:numId="36">
    <w:abstractNumId w:val="41"/>
  </w:num>
  <w:num w:numId="37">
    <w:abstractNumId w:val="33"/>
  </w:num>
  <w:num w:numId="38">
    <w:abstractNumId w:val="17"/>
  </w:num>
  <w:num w:numId="39">
    <w:abstractNumId w:val="39"/>
  </w:num>
  <w:num w:numId="40">
    <w:abstractNumId w:val="10"/>
  </w:num>
  <w:num w:numId="41">
    <w:abstractNumId w:val="38"/>
  </w:num>
  <w:num w:numId="42">
    <w:abstractNumId w:val="32"/>
  </w:num>
  <w:num w:numId="43">
    <w:abstractNumId w:val="3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ttachedTemplate r:id="rId1"/>
  <w:doNotTrackMoves/>
  <w:defaultTabStop w:val="0"/>
  <w:consecutiveHyphenLimit w:val="3"/>
  <w:hyphenationZone w:val="28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6CD"/>
    <w:rsid w:val="000009F6"/>
    <w:rsid w:val="0000119F"/>
    <w:rsid w:val="000014FF"/>
    <w:rsid w:val="00001AA0"/>
    <w:rsid w:val="00006561"/>
    <w:rsid w:val="0000795F"/>
    <w:rsid w:val="00007BBA"/>
    <w:rsid w:val="00012025"/>
    <w:rsid w:val="000136ED"/>
    <w:rsid w:val="00014405"/>
    <w:rsid w:val="00015499"/>
    <w:rsid w:val="00015AE6"/>
    <w:rsid w:val="00016F28"/>
    <w:rsid w:val="00016F38"/>
    <w:rsid w:val="00017E82"/>
    <w:rsid w:val="0002049B"/>
    <w:rsid w:val="0002120A"/>
    <w:rsid w:val="00022939"/>
    <w:rsid w:val="00025F38"/>
    <w:rsid w:val="0003023A"/>
    <w:rsid w:val="00031144"/>
    <w:rsid w:val="0003454B"/>
    <w:rsid w:val="00040013"/>
    <w:rsid w:val="000437CE"/>
    <w:rsid w:val="00043E95"/>
    <w:rsid w:val="00051466"/>
    <w:rsid w:val="00052384"/>
    <w:rsid w:val="00052CA1"/>
    <w:rsid w:val="000530FE"/>
    <w:rsid w:val="00057A37"/>
    <w:rsid w:val="00057D22"/>
    <w:rsid w:val="0006085B"/>
    <w:rsid w:val="00061997"/>
    <w:rsid w:val="00063B64"/>
    <w:rsid w:val="000658BE"/>
    <w:rsid w:val="00065B89"/>
    <w:rsid w:val="00072D44"/>
    <w:rsid w:val="000734D4"/>
    <w:rsid w:val="00074937"/>
    <w:rsid w:val="000752D6"/>
    <w:rsid w:val="00076626"/>
    <w:rsid w:val="00077E6A"/>
    <w:rsid w:val="0008303E"/>
    <w:rsid w:val="000835D4"/>
    <w:rsid w:val="0008430C"/>
    <w:rsid w:val="00084D58"/>
    <w:rsid w:val="0008733B"/>
    <w:rsid w:val="00087BB1"/>
    <w:rsid w:val="000922A6"/>
    <w:rsid w:val="0009340F"/>
    <w:rsid w:val="000934E6"/>
    <w:rsid w:val="00096584"/>
    <w:rsid w:val="0009668D"/>
    <w:rsid w:val="0009775B"/>
    <w:rsid w:val="000979C3"/>
    <w:rsid w:val="000A01A7"/>
    <w:rsid w:val="000A163D"/>
    <w:rsid w:val="000A1E6D"/>
    <w:rsid w:val="000A35BD"/>
    <w:rsid w:val="000A4657"/>
    <w:rsid w:val="000A5531"/>
    <w:rsid w:val="000A67AA"/>
    <w:rsid w:val="000A6935"/>
    <w:rsid w:val="000B242D"/>
    <w:rsid w:val="000B40D6"/>
    <w:rsid w:val="000B5A08"/>
    <w:rsid w:val="000B7E46"/>
    <w:rsid w:val="000C0919"/>
    <w:rsid w:val="000C283A"/>
    <w:rsid w:val="000C3697"/>
    <w:rsid w:val="000D0103"/>
    <w:rsid w:val="000D08C7"/>
    <w:rsid w:val="000D194B"/>
    <w:rsid w:val="000D222F"/>
    <w:rsid w:val="000D33DF"/>
    <w:rsid w:val="000D34F9"/>
    <w:rsid w:val="000D50F6"/>
    <w:rsid w:val="000D64DC"/>
    <w:rsid w:val="000D67D2"/>
    <w:rsid w:val="000D79E9"/>
    <w:rsid w:val="000E07F8"/>
    <w:rsid w:val="000E12F8"/>
    <w:rsid w:val="000E14A7"/>
    <w:rsid w:val="000E5424"/>
    <w:rsid w:val="000E5A2A"/>
    <w:rsid w:val="000E7290"/>
    <w:rsid w:val="000E7FAE"/>
    <w:rsid w:val="000F023F"/>
    <w:rsid w:val="000F3C7D"/>
    <w:rsid w:val="000F459C"/>
    <w:rsid w:val="001006B8"/>
    <w:rsid w:val="00102A1D"/>
    <w:rsid w:val="00103ABF"/>
    <w:rsid w:val="001040D8"/>
    <w:rsid w:val="00107CF2"/>
    <w:rsid w:val="0011025D"/>
    <w:rsid w:val="0011066B"/>
    <w:rsid w:val="00110704"/>
    <w:rsid w:val="00110A22"/>
    <w:rsid w:val="0011131F"/>
    <w:rsid w:val="00114DE7"/>
    <w:rsid w:val="00115A5A"/>
    <w:rsid w:val="0011679D"/>
    <w:rsid w:val="00122F81"/>
    <w:rsid w:val="001247BA"/>
    <w:rsid w:val="00124E61"/>
    <w:rsid w:val="00125E32"/>
    <w:rsid w:val="00126850"/>
    <w:rsid w:val="00127CDE"/>
    <w:rsid w:val="0013140E"/>
    <w:rsid w:val="00134397"/>
    <w:rsid w:val="00135A5B"/>
    <w:rsid w:val="00137392"/>
    <w:rsid w:val="00137A90"/>
    <w:rsid w:val="001414BD"/>
    <w:rsid w:val="00143678"/>
    <w:rsid w:val="00145419"/>
    <w:rsid w:val="00145712"/>
    <w:rsid w:val="00145879"/>
    <w:rsid w:val="00151369"/>
    <w:rsid w:val="00153BAA"/>
    <w:rsid w:val="00154506"/>
    <w:rsid w:val="001570BE"/>
    <w:rsid w:val="001574D6"/>
    <w:rsid w:val="0016522F"/>
    <w:rsid w:val="00165D18"/>
    <w:rsid w:val="0016618B"/>
    <w:rsid w:val="00167967"/>
    <w:rsid w:val="00167E64"/>
    <w:rsid w:val="00171FAE"/>
    <w:rsid w:val="0017261E"/>
    <w:rsid w:val="001772CE"/>
    <w:rsid w:val="00190207"/>
    <w:rsid w:val="00190331"/>
    <w:rsid w:val="00190573"/>
    <w:rsid w:val="001912B2"/>
    <w:rsid w:val="001A008F"/>
    <w:rsid w:val="001A6420"/>
    <w:rsid w:val="001A699A"/>
    <w:rsid w:val="001A735F"/>
    <w:rsid w:val="001A787F"/>
    <w:rsid w:val="001A7FA0"/>
    <w:rsid w:val="001B03CB"/>
    <w:rsid w:val="001B2854"/>
    <w:rsid w:val="001B2A9D"/>
    <w:rsid w:val="001B4979"/>
    <w:rsid w:val="001B497E"/>
    <w:rsid w:val="001B6F3D"/>
    <w:rsid w:val="001B7DBC"/>
    <w:rsid w:val="001C1524"/>
    <w:rsid w:val="001C191E"/>
    <w:rsid w:val="001C2C73"/>
    <w:rsid w:val="001C3087"/>
    <w:rsid w:val="001C3EBA"/>
    <w:rsid w:val="001C5042"/>
    <w:rsid w:val="001C54B5"/>
    <w:rsid w:val="001C5DB2"/>
    <w:rsid w:val="001C62CB"/>
    <w:rsid w:val="001C6C3A"/>
    <w:rsid w:val="001D34E5"/>
    <w:rsid w:val="001D4839"/>
    <w:rsid w:val="001D69D1"/>
    <w:rsid w:val="001E1413"/>
    <w:rsid w:val="001E277B"/>
    <w:rsid w:val="001E4722"/>
    <w:rsid w:val="001F15DA"/>
    <w:rsid w:val="001F5492"/>
    <w:rsid w:val="001F5EBA"/>
    <w:rsid w:val="001F682E"/>
    <w:rsid w:val="001F7E20"/>
    <w:rsid w:val="002019E4"/>
    <w:rsid w:val="0020324A"/>
    <w:rsid w:val="00203FC5"/>
    <w:rsid w:val="00207063"/>
    <w:rsid w:val="00207F0B"/>
    <w:rsid w:val="00210CCC"/>
    <w:rsid w:val="00210CEF"/>
    <w:rsid w:val="00213188"/>
    <w:rsid w:val="00216D11"/>
    <w:rsid w:val="00217034"/>
    <w:rsid w:val="00217A12"/>
    <w:rsid w:val="00222276"/>
    <w:rsid w:val="00223591"/>
    <w:rsid w:val="00224974"/>
    <w:rsid w:val="00225043"/>
    <w:rsid w:val="0022555C"/>
    <w:rsid w:val="00225663"/>
    <w:rsid w:val="0022759E"/>
    <w:rsid w:val="002276AF"/>
    <w:rsid w:val="002305F0"/>
    <w:rsid w:val="00231AEB"/>
    <w:rsid w:val="00234F4A"/>
    <w:rsid w:val="0024318E"/>
    <w:rsid w:val="00244374"/>
    <w:rsid w:val="002468BF"/>
    <w:rsid w:val="00250E17"/>
    <w:rsid w:val="00253822"/>
    <w:rsid w:val="00257EB1"/>
    <w:rsid w:val="00257F70"/>
    <w:rsid w:val="00263CED"/>
    <w:rsid w:val="00263D00"/>
    <w:rsid w:val="002644BF"/>
    <w:rsid w:val="00265AB8"/>
    <w:rsid w:val="00266175"/>
    <w:rsid w:val="00267AA9"/>
    <w:rsid w:val="0027132E"/>
    <w:rsid w:val="002766E1"/>
    <w:rsid w:val="002775A3"/>
    <w:rsid w:val="002827DF"/>
    <w:rsid w:val="00284741"/>
    <w:rsid w:val="0028511E"/>
    <w:rsid w:val="0028516F"/>
    <w:rsid w:val="002855A8"/>
    <w:rsid w:val="00292157"/>
    <w:rsid w:val="00295DA6"/>
    <w:rsid w:val="0029626E"/>
    <w:rsid w:val="002978F0"/>
    <w:rsid w:val="00297BBC"/>
    <w:rsid w:val="002A196F"/>
    <w:rsid w:val="002A5320"/>
    <w:rsid w:val="002A5712"/>
    <w:rsid w:val="002B269C"/>
    <w:rsid w:val="002B30B3"/>
    <w:rsid w:val="002B6006"/>
    <w:rsid w:val="002B66F3"/>
    <w:rsid w:val="002B7084"/>
    <w:rsid w:val="002B77EA"/>
    <w:rsid w:val="002C1F0F"/>
    <w:rsid w:val="002C4B20"/>
    <w:rsid w:val="002C4E3F"/>
    <w:rsid w:val="002C6116"/>
    <w:rsid w:val="002C62B8"/>
    <w:rsid w:val="002D25B6"/>
    <w:rsid w:val="002D2B6E"/>
    <w:rsid w:val="002D364D"/>
    <w:rsid w:val="002D39E1"/>
    <w:rsid w:val="002D3E9D"/>
    <w:rsid w:val="002D518A"/>
    <w:rsid w:val="002E06C6"/>
    <w:rsid w:val="002E10EF"/>
    <w:rsid w:val="002E312C"/>
    <w:rsid w:val="002E381C"/>
    <w:rsid w:val="002E5047"/>
    <w:rsid w:val="002E5625"/>
    <w:rsid w:val="002E7109"/>
    <w:rsid w:val="002F268F"/>
    <w:rsid w:val="002F2962"/>
    <w:rsid w:val="002F72C3"/>
    <w:rsid w:val="002F7BBF"/>
    <w:rsid w:val="00302BFE"/>
    <w:rsid w:val="003059A3"/>
    <w:rsid w:val="00305A6D"/>
    <w:rsid w:val="003069CA"/>
    <w:rsid w:val="00311179"/>
    <w:rsid w:val="003123A2"/>
    <w:rsid w:val="00312434"/>
    <w:rsid w:val="00312901"/>
    <w:rsid w:val="00315E2E"/>
    <w:rsid w:val="00322160"/>
    <w:rsid w:val="003224C2"/>
    <w:rsid w:val="0032505F"/>
    <w:rsid w:val="00325653"/>
    <w:rsid w:val="003276E0"/>
    <w:rsid w:val="0033251F"/>
    <w:rsid w:val="00333C67"/>
    <w:rsid w:val="00333D73"/>
    <w:rsid w:val="00337CBD"/>
    <w:rsid w:val="003402ED"/>
    <w:rsid w:val="00340B09"/>
    <w:rsid w:val="0034198A"/>
    <w:rsid w:val="00342DA9"/>
    <w:rsid w:val="00343181"/>
    <w:rsid w:val="003433EE"/>
    <w:rsid w:val="00346FA0"/>
    <w:rsid w:val="00346FB1"/>
    <w:rsid w:val="00347CBC"/>
    <w:rsid w:val="00350426"/>
    <w:rsid w:val="00350524"/>
    <w:rsid w:val="0035069E"/>
    <w:rsid w:val="00354F22"/>
    <w:rsid w:val="00354F33"/>
    <w:rsid w:val="003555B4"/>
    <w:rsid w:val="00355B25"/>
    <w:rsid w:val="00355ED7"/>
    <w:rsid w:val="0035671A"/>
    <w:rsid w:val="00356826"/>
    <w:rsid w:val="00360ECC"/>
    <w:rsid w:val="0036522E"/>
    <w:rsid w:val="00366F55"/>
    <w:rsid w:val="00370644"/>
    <w:rsid w:val="00370F2D"/>
    <w:rsid w:val="003718DA"/>
    <w:rsid w:val="003729D8"/>
    <w:rsid w:val="00373134"/>
    <w:rsid w:val="00373A66"/>
    <w:rsid w:val="00374934"/>
    <w:rsid w:val="003812FE"/>
    <w:rsid w:val="00382021"/>
    <w:rsid w:val="00383466"/>
    <w:rsid w:val="00383637"/>
    <w:rsid w:val="00383A8A"/>
    <w:rsid w:val="00383AFB"/>
    <w:rsid w:val="00383E93"/>
    <w:rsid w:val="00384BC3"/>
    <w:rsid w:val="003862D0"/>
    <w:rsid w:val="00390126"/>
    <w:rsid w:val="00392416"/>
    <w:rsid w:val="00393FA2"/>
    <w:rsid w:val="00394AE7"/>
    <w:rsid w:val="003969CC"/>
    <w:rsid w:val="00397C7C"/>
    <w:rsid w:val="003A1857"/>
    <w:rsid w:val="003A478D"/>
    <w:rsid w:val="003A4B18"/>
    <w:rsid w:val="003A5D41"/>
    <w:rsid w:val="003A6E5D"/>
    <w:rsid w:val="003A7052"/>
    <w:rsid w:val="003B07E4"/>
    <w:rsid w:val="003B1148"/>
    <w:rsid w:val="003B154E"/>
    <w:rsid w:val="003B2B00"/>
    <w:rsid w:val="003B33F5"/>
    <w:rsid w:val="003C132B"/>
    <w:rsid w:val="003C16E3"/>
    <w:rsid w:val="003C2E38"/>
    <w:rsid w:val="003C3293"/>
    <w:rsid w:val="003C7539"/>
    <w:rsid w:val="003D20F9"/>
    <w:rsid w:val="003D37F2"/>
    <w:rsid w:val="003D4A80"/>
    <w:rsid w:val="003D663A"/>
    <w:rsid w:val="003E0B73"/>
    <w:rsid w:val="003E2BFE"/>
    <w:rsid w:val="003E4212"/>
    <w:rsid w:val="003F2E66"/>
    <w:rsid w:val="003F5416"/>
    <w:rsid w:val="003F64D8"/>
    <w:rsid w:val="003F6C84"/>
    <w:rsid w:val="00400339"/>
    <w:rsid w:val="00407182"/>
    <w:rsid w:val="0041208E"/>
    <w:rsid w:val="004173FF"/>
    <w:rsid w:val="00422C5A"/>
    <w:rsid w:val="00422DAC"/>
    <w:rsid w:val="00423503"/>
    <w:rsid w:val="004235F9"/>
    <w:rsid w:val="004256CD"/>
    <w:rsid w:val="0043024C"/>
    <w:rsid w:val="00432369"/>
    <w:rsid w:val="00433882"/>
    <w:rsid w:val="004339EA"/>
    <w:rsid w:val="004343E0"/>
    <w:rsid w:val="00434873"/>
    <w:rsid w:val="00435450"/>
    <w:rsid w:val="004406D7"/>
    <w:rsid w:val="004408F8"/>
    <w:rsid w:val="00441165"/>
    <w:rsid w:val="00441225"/>
    <w:rsid w:val="004430F9"/>
    <w:rsid w:val="00443DC1"/>
    <w:rsid w:val="00444353"/>
    <w:rsid w:val="00445231"/>
    <w:rsid w:val="004517F7"/>
    <w:rsid w:val="004542D5"/>
    <w:rsid w:val="004562C0"/>
    <w:rsid w:val="00456CC6"/>
    <w:rsid w:val="00457900"/>
    <w:rsid w:val="00461230"/>
    <w:rsid w:val="004612C8"/>
    <w:rsid w:val="00463497"/>
    <w:rsid w:val="00465096"/>
    <w:rsid w:val="004662BA"/>
    <w:rsid w:val="004669D5"/>
    <w:rsid w:val="00466A4F"/>
    <w:rsid w:val="00472D00"/>
    <w:rsid w:val="00473C96"/>
    <w:rsid w:val="00474B6F"/>
    <w:rsid w:val="004752A2"/>
    <w:rsid w:val="00477384"/>
    <w:rsid w:val="004800B5"/>
    <w:rsid w:val="00480800"/>
    <w:rsid w:val="00482A9A"/>
    <w:rsid w:val="00482C96"/>
    <w:rsid w:val="00483D6E"/>
    <w:rsid w:val="00485590"/>
    <w:rsid w:val="0048578D"/>
    <w:rsid w:val="0048717A"/>
    <w:rsid w:val="00490E97"/>
    <w:rsid w:val="004919EF"/>
    <w:rsid w:val="00492872"/>
    <w:rsid w:val="00493A0D"/>
    <w:rsid w:val="00493E2F"/>
    <w:rsid w:val="00494746"/>
    <w:rsid w:val="004949DD"/>
    <w:rsid w:val="00494E3F"/>
    <w:rsid w:val="00496C32"/>
    <w:rsid w:val="00496EE7"/>
    <w:rsid w:val="004A4B4D"/>
    <w:rsid w:val="004A6272"/>
    <w:rsid w:val="004A7CC4"/>
    <w:rsid w:val="004B240F"/>
    <w:rsid w:val="004B3017"/>
    <w:rsid w:val="004B3219"/>
    <w:rsid w:val="004B5201"/>
    <w:rsid w:val="004B57C1"/>
    <w:rsid w:val="004B5E46"/>
    <w:rsid w:val="004B64B2"/>
    <w:rsid w:val="004C1A6A"/>
    <w:rsid w:val="004C20B0"/>
    <w:rsid w:val="004C329D"/>
    <w:rsid w:val="004C5AD8"/>
    <w:rsid w:val="004C64BF"/>
    <w:rsid w:val="004C6527"/>
    <w:rsid w:val="004C6C2F"/>
    <w:rsid w:val="004C7626"/>
    <w:rsid w:val="004E0806"/>
    <w:rsid w:val="004E1BD1"/>
    <w:rsid w:val="004E2B7E"/>
    <w:rsid w:val="004E5822"/>
    <w:rsid w:val="004E736B"/>
    <w:rsid w:val="004F1450"/>
    <w:rsid w:val="004F2DE7"/>
    <w:rsid w:val="004F6181"/>
    <w:rsid w:val="004F6F5C"/>
    <w:rsid w:val="005015BD"/>
    <w:rsid w:val="00501B2B"/>
    <w:rsid w:val="00502E82"/>
    <w:rsid w:val="00502E86"/>
    <w:rsid w:val="00503AF9"/>
    <w:rsid w:val="00505251"/>
    <w:rsid w:val="00513428"/>
    <w:rsid w:val="005207EA"/>
    <w:rsid w:val="00521C36"/>
    <w:rsid w:val="0052297E"/>
    <w:rsid w:val="00522CA7"/>
    <w:rsid w:val="005234C9"/>
    <w:rsid w:val="005252E3"/>
    <w:rsid w:val="00525AFD"/>
    <w:rsid w:val="005302B5"/>
    <w:rsid w:val="0053101B"/>
    <w:rsid w:val="00531C31"/>
    <w:rsid w:val="00532A90"/>
    <w:rsid w:val="005338D2"/>
    <w:rsid w:val="00533A12"/>
    <w:rsid w:val="00533A91"/>
    <w:rsid w:val="00535400"/>
    <w:rsid w:val="00536D47"/>
    <w:rsid w:val="0053753B"/>
    <w:rsid w:val="005406AB"/>
    <w:rsid w:val="00540B23"/>
    <w:rsid w:val="0054168D"/>
    <w:rsid w:val="00541E5D"/>
    <w:rsid w:val="005465DF"/>
    <w:rsid w:val="00546DF7"/>
    <w:rsid w:val="00547996"/>
    <w:rsid w:val="00547B4A"/>
    <w:rsid w:val="00547B84"/>
    <w:rsid w:val="0055171C"/>
    <w:rsid w:val="005522C5"/>
    <w:rsid w:val="00552551"/>
    <w:rsid w:val="005536CD"/>
    <w:rsid w:val="00553D10"/>
    <w:rsid w:val="00554F08"/>
    <w:rsid w:val="00557227"/>
    <w:rsid w:val="00557C85"/>
    <w:rsid w:val="00560BB7"/>
    <w:rsid w:val="00560C52"/>
    <w:rsid w:val="0056126B"/>
    <w:rsid w:val="00563ABC"/>
    <w:rsid w:val="00565581"/>
    <w:rsid w:val="00565927"/>
    <w:rsid w:val="00567F63"/>
    <w:rsid w:val="0057067C"/>
    <w:rsid w:val="00572C76"/>
    <w:rsid w:val="0057414D"/>
    <w:rsid w:val="00576283"/>
    <w:rsid w:val="0057674E"/>
    <w:rsid w:val="0057688E"/>
    <w:rsid w:val="00577328"/>
    <w:rsid w:val="00580D50"/>
    <w:rsid w:val="0058102A"/>
    <w:rsid w:val="00581D62"/>
    <w:rsid w:val="00582344"/>
    <w:rsid w:val="00584961"/>
    <w:rsid w:val="00585351"/>
    <w:rsid w:val="00585F70"/>
    <w:rsid w:val="0059346B"/>
    <w:rsid w:val="00596BF3"/>
    <w:rsid w:val="00597235"/>
    <w:rsid w:val="00597256"/>
    <w:rsid w:val="005A0309"/>
    <w:rsid w:val="005A4207"/>
    <w:rsid w:val="005A469E"/>
    <w:rsid w:val="005A4D03"/>
    <w:rsid w:val="005A57E6"/>
    <w:rsid w:val="005A5A5D"/>
    <w:rsid w:val="005A6E7E"/>
    <w:rsid w:val="005A7F8B"/>
    <w:rsid w:val="005B1C7A"/>
    <w:rsid w:val="005B1EB7"/>
    <w:rsid w:val="005B301F"/>
    <w:rsid w:val="005B5066"/>
    <w:rsid w:val="005B52F9"/>
    <w:rsid w:val="005C1000"/>
    <w:rsid w:val="005C13F7"/>
    <w:rsid w:val="005C2385"/>
    <w:rsid w:val="005C23FD"/>
    <w:rsid w:val="005C3531"/>
    <w:rsid w:val="005C4185"/>
    <w:rsid w:val="005C63DE"/>
    <w:rsid w:val="005C7908"/>
    <w:rsid w:val="005C7AAA"/>
    <w:rsid w:val="005D2D45"/>
    <w:rsid w:val="005D3D03"/>
    <w:rsid w:val="005D46F9"/>
    <w:rsid w:val="005D6089"/>
    <w:rsid w:val="005D62C1"/>
    <w:rsid w:val="005D6A0E"/>
    <w:rsid w:val="005E201D"/>
    <w:rsid w:val="005E3F46"/>
    <w:rsid w:val="005E434D"/>
    <w:rsid w:val="005E7A86"/>
    <w:rsid w:val="005F32EF"/>
    <w:rsid w:val="005F7391"/>
    <w:rsid w:val="005F7E41"/>
    <w:rsid w:val="006002A6"/>
    <w:rsid w:val="006029B5"/>
    <w:rsid w:val="00602E47"/>
    <w:rsid w:val="006030B2"/>
    <w:rsid w:val="006033D6"/>
    <w:rsid w:val="006048D0"/>
    <w:rsid w:val="006052C5"/>
    <w:rsid w:val="006129BC"/>
    <w:rsid w:val="00612EBD"/>
    <w:rsid w:val="00614C2C"/>
    <w:rsid w:val="00615547"/>
    <w:rsid w:val="006162BE"/>
    <w:rsid w:val="00616CBC"/>
    <w:rsid w:val="0061729A"/>
    <w:rsid w:val="006201F1"/>
    <w:rsid w:val="00622132"/>
    <w:rsid w:val="00626A5E"/>
    <w:rsid w:val="00626F55"/>
    <w:rsid w:val="006270B2"/>
    <w:rsid w:val="006271A3"/>
    <w:rsid w:val="00630DC7"/>
    <w:rsid w:val="0063208A"/>
    <w:rsid w:val="00637AD3"/>
    <w:rsid w:val="006414EB"/>
    <w:rsid w:val="00641E97"/>
    <w:rsid w:val="00643B78"/>
    <w:rsid w:val="00643C77"/>
    <w:rsid w:val="0064503E"/>
    <w:rsid w:val="00645E05"/>
    <w:rsid w:val="00646000"/>
    <w:rsid w:val="0064685A"/>
    <w:rsid w:val="00647188"/>
    <w:rsid w:val="006479DC"/>
    <w:rsid w:val="00647CAF"/>
    <w:rsid w:val="00651125"/>
    <w:rsid w:val="006524C8"/>
    <w:rsid w:val="00654AE0"/>
    <w:rsid w:val="00654BEC"/>
    <w:rsid w:val="00654C5C"/>
    <w:rsid w:val="00656CF8"/>
    <w:rsid w:val="006618A3"/>
    <w:rsid w:val="00661ADD"/>
    <w:rsid w:val="00662435"/>
    <w:rsid w:val="0066377C"/>
    <w:rsid w:val="00664110"/>
    <w:rsid w:val="0066469F"/>
    <w:rsid w:val="006661B5"/>
    <w:rsid w:val="00670DDC"/>
    <w:rsid w:val="00670F19"/>
    <w:rsid w:val="00671E2A"/>
    <w:rsid w:val="006728FD"/>
    <w:rsid w:val="0067606F"/>
    <w:rsid w:val="00680FC4"/>
    <w:rsid w:val="00681112"/>
    <w:rsid w:val="00681FCD"/>
    <w:rsid w:val="006820F1"/>
    <w:rsid w:val="00682186"/>
    <w:rsid w:val="0068337F"/>
    <w:rsid w:val="00683E4D"/>
    <w:rsid w:val="006844C0"/>
    <w:rsid w:val="00685704"/>
    <w:rsid w:val="00687339"/>
    <w:rsid w:val="00687367"/>
    <w:rsid w:val="00690BCD"/>
    <w:rsid w:val="00691033"/>
    <w:rsid w:val="00691979"/>
    <w:rsid w:val="00691CE6"/>
    <w:rsid w:val="00692228"/>
    <w:rsid w:val="00693857"/>
    <w:rsid w:val="006944F7"/>
    <w:rsid w:val="00694524"/>
    <w:rsid w:val="00694A15"/>
    <w:rsid w:val="00694DF5"/>
    <w:rsid w:val="0069526C"/>
    <w:rsid w:val="00695822"/>
    <w:rsid w:val="00695878"/>
    <w:rsid w:val="00696C6F"/>
    <w:rsid w:val="0069755A"/>
    <w:rsid w:val="006A45F9"/>
    <w:rsid w:val="006B183F"/>
    <w:rsid w:val="006B571F"/>
    <w:rsid w:val="006B657E"/>
    <w:rsid w:val="006C0E01"/>
    <w:rsid w:val="006C1072"/>
    <w:rsid w:val="006C1A35"/>
    <w:rsid w:val="006C2537"/>
    <w:rsid w:val="006C33F5"/>
    <w:rsid w:val="006C3D40"/>
    <w:rsid w:val="006C5CAE"/>
    <w:rsid w:val="006C63FD"/>
    <w:rsid w:val="006D04F0"/>
    <w:rsid w:val="006D0F8A"/>
    <w:rsid w:val="006D192D"/>
    <w:rsid w:val="006D46E5"/>
    <w:rsid w:val="006D4AC0"/>
    <w:rsid w:val="006E0A2C"/>
    <w:rsid w:val="006E1D24"/>
    <w:rsid w:val="006E7673"/>
    <w:rsid w:val="006F1E89"/>
    <w:rsid w:val="006F2256"/>
    <w:rsid w:val="006F2E38"/>
    <w:rsid w:val="006F5CA8"/>
    <w:rsid w:val="006F7312"/>
    <w:rsid w:val="00700518"/>
    <w:rsid w:val="00703C03"/>
    <w:rsid w:val="00706A98"/>
    <w:rsid w:val="0071266C"/>
    <w:rsid w:val="00714525"/>
    <w:rsid w:val="00717BA5"/>
    <w:rsid w:val="00722BE9"/>
    <w:rsid w:val="00722D6E"/>
    <w:rsid w:val="00724A72"/>
    <w:rsid w:val="00724ADA"/>
    <w:rsid w:val="0072558A"/>
    <w:rsid w:val="00725DBB"/>
    <w:rsid w:val="00726E65"/>
    <w:rsid w:val="007274B5"/>
    <w:rsid w:val="00730030"/>
    <w:rsid w:val="00730868"/>
    <w:rsid w:val="00730B96"/>
    <w:rsid w:val="00732DF2"/>
    <w:rsid w:val="00736221"/>
    <w:rsid w:val="0073736C"/>
    <w:rsid w:val="00737CE4"/>
    <w:rsid w:val="00745C52"/>
    <w:rsid w:val="00751151"/>
    <w:rsid w:val="007511EB"/>
    <w:rsid w:val="00754380"/>
    <w:rsid w:val="00754D12"/>
    <w:rsid w:val="00755AD5"/>
    <w:rsid w:val="00757463"/>
    <w:rsid w:val="00757D32"/>
    <w:rsid w:val="00761742"/>
    <w:rsid w:val="00762D95"/>
    <w:rsid w:val="00763BC0"/>
    <w:rsid w:val="0076481B"/>
    <w:rsid w:val="00764D86"/>
    <w:rsid w:val="007658CD"/>
    <w:rsid w:val="00770B72"/>
    <w:rsid w:val="00771710"/>
    <w:rsid w:val="00774210"/>
    <w:rsid w:val="00774F07"/>
    <w:rsid w:val="0077610E"/>
    <w:rsid w:val="00776FBB"/>
    <w:rsid w:val="007802B3"/>
    <w:rsid w:val="007806FE"/>
    <w:rsid w:val="00783B54"/>
    <w:rsid w:val="00794C20"/>
    <w:rsid w:val="007A27C9"/>
    <w:rsid w:val="007A43C9"/>
    <w:rsid w:val="007A4FF7"/>
    <w:rsid w:val="007A538B"/>
    <w:rsid w:val="007A6DA6"/>
    <w:rsid w:val="007A7433"/>
    <w:rsid w:val="007A7694"/>
    <w:rsid w:val="007A79D0"/>
    <w:rsid w:val="007A7BCB"/>
    <w:rsid w:val="007B07C2"/>
    <w:rsid w:val="007B1704"/>
    <w:rsid w:val="007B236D"/>
    <w:rsid w:val="007B5527"/>
    <w:rsid w:val="007B5C05"/>
    <w:rsid w:val="007B7253"/>
    <w:rsid w:val="007C0185"/>
    <w:rsid w:val="007C2F2B"/>
    <w:rsid w:val="007C4039"/>
    <w:rsid w:val="007C454B"/>
    <w:rsid w:val="007C615B"/>
    <w:rsid w:val="007C7268"/>
    <w:rsid w:val="007C74B4"/>
    <w:rsid w:val="007D0F17"/>
    <w:rsid w:val="007D1141"/>
    <w:rsid w:val="007D2BA7"/>
    <w:rsid w:val="007D38CE"/>
    <w:rsid w:val="007D4436"/>
    <w:rsid w:val="007D4A81"/>
    <w:rsid w:val="007D5146"/>
    <w:rsid w:val="007D580E"/>
    <w:rsid w:val="007D77D3"/>
    <w:rsid w:val="007E0195"/>
    <w:rsid w:val="007E1C82"/>
    <w:rsid w:val="007E4A1F"/>
    <w:rsid w:val="007E58BF"/>
    <w:rsid w:val="007E6933"/>
    <w:rsid w:val="007E6D7B"/>
    <w:rsid w:val="007E70A9"/>
    <w:rsid w:val="007F3680"/>
    <w:rsid w:val="007F75FC"/>
    <w:rsid w:val="00802682"/>
    <w:rsid w:val="0080283C"/>
    <w:rsid w:val="00805551"/>
    <w:rsid w:val="00806C93"/>
    <w:rsid w:val="00811578"/>
    <w:rsid w:val="00811C87"/>
    <w:rsid w:val="008128ED"/>
    <w:rsid w:val="00814896"/>
    <w:rsid w:val="008171CE"/>
    <w:rsid w:val="00820E7C"/>
    <w:rsid w:val="008223CD"/>
    <w:rsid w:val="00823441"/>
    <w:rsid w:val="00825AA7"/>
    <w:rsid w:val="00826727"/>
    <w:rsid w:val="00827BB4"/>
    <w:rsid w:val="00830558"/>
    <w:rsid w:val="0083105F"/>
    <w:rsid w:val="0083213F"/>
    <w:rsid w:val="00834229"/>
    <w:rsid w:val="008362F0"/>
    <w:rsid w:val="00836B2B"/>
    <w:rsid w:val="00836CCF"/>
    <w:rsid w:val="00840C8E"/>
    <w:rsid w:val="00841E19"/>
    <w:rsid w:val="00842AF7"/>
    <w:rsid w:val="008453E9"/>
    <w:rsid w:val="00851474"/>
    <w:rsid w:val="00852BBF"/>
    <w:rsid w:val="00853811"/>
    <w:rsid w:val="00854079"/>
    <w:rsid w:val="00854AF9"/>
    <w:rsid w:val="0086447C"/>
    <w:rsid w:val="008647EC"/>
    <w:rsid w:val="0086604B"/>
    <w:rsid w:val="00867973"/>
    <w:rsid w:val="00870792"/>
    <w:rsid w:val="008714AC"/>
    <w:rsid w:val="00873413"/>
    <w:rsid w:val="00874C64"/>
    <w:rsid w:val="0088018F"/>
    <w:rsid w:val="0088028F"/>
    <w:rsid w:val="008816BA"/>
    <w:rsid w:val="0088178C"/>
    <w:rsid w:val="00881FEC"/>
    <w:rsid w:val="00882A9F"/>
    <w:rsid w:val="00887735"/>
    <w:rsid w:val="008914EE"/>
    <w:rsid w:val="0089239F"/>
    <w:rsid w:val="008931D8"/>
    <w:rsid w:val="008A02B3"/>
    <w:rsid w:val="008A2231"/>
    <w:rsid w:val="008A265A"/>
    <w:rsid w:val="008B0DE5"/>
    <w:rsid w:val="008B37DF"/>
    <w:rsid w:val="008B5F8E"/>
    <w:rsid w:val="008B65B3"/>
    <w:rsid w:val="008B7104"/>
    <w:rsid w:val="008B777E"/>
    <w:rsid w:val="008B787A"/>
    <w:rsid w:val="008C31B3"/>
    <w:rsid w:val="008C3530"/>
    <w:rsid w:val="008C42CC"/>
    <w:rsid w:val="008C6611"/>
    <w:rsid w:val="008C787E"/>
    <w:rsid w:val="008C7C9D"/>
    <w:rsid w:val="008D101F"/>
    <w:rsid w:val="008D1714"/>
    <w:rsid w:val="008D21E1"/>
    <w:rsid w:val="008D63A9"/>
    <w:rsid w:val="008E1A47"/>
    <w:rsid w:val="008E20FF"/>
    <w:rsid w:val="008E45AD"/>
    <w:rsid w:val="008E7A21"/>
    <w:rsid w:val="008F02C5"/>
    <w:rsid w:val="008F1BAE"/>
    <w:rsid w:val="008F1CDB"/>
    <w:rsid w:val="008F2DBB"/>
    <w:rsid w:val="008F4AD6"/>
    <w:rsid w:val="008F4BBC"/>
    <w:rsid w:val="008F6733"/>
    <w:rsid w:val="00901605"/>
    <w:rsid w:val="00902852"/>
    <w:rsid w:val="00904921"/>
    <w:rsid w:val="009054A4"/>
    <w:rsid w:val="009064BD"/>
    <w:rsid w:val="00910755"/>
    <w:rsid w:val="00913063"/>
    <w:rsid w:val="009152F3"/>
    <w:rsid w:val="00915CB9"/>
    <w:rsid w:val="009161AE"/>
    <w:rsid w:val="009167FB"/>
    <w:rsid w:val="00916B6E"/>
    <w:rsid w:val="009220A1"/>
    <w:rsid w:val="00922CB2"/>
    <w:rsid w:val="00923FC8"/>
    <w:rsid w:val="009241B0"/>
    <w:rsid w:val="00924BBB"/>
    <w:rsid w:val="009259E0"/>
    <w:rsid w:val="00925C9E"/>
    <w:rsid w:val="00931307"/>
    <w:rsid w:val="00931B10"/>
    <w:rsid w:val="00932335"/>
    <w:rsid w:val="00932C8A"/>
    <w:rsid w:val="00933631"/>
    <w:rsid w:val="00933FB9"/>
    <w:rsid w:val="00934970"/>
    <w:rsid w:val="00935F2F"/>
    <w:rsid w:val="00941631"/>
    <w:rsid w:val="00941768"/>
    <w:rsid w:val="00942651"/>
    <w:rsid w:val="00947A6A"/>
    <w:rsid w:val="00947AFD"/>
    <w:rsid w:val="00950C58"/>
    <w:rsid w:val="00950D31"/>
    <w:rsid w:val="00952199"/>
    <w:rsid w:val="009537E8"/>
    <w:rsid w:val="00957E34"/>
    <w:rsid w:val="0096173F"/>
    <w:rsid w:val="0096299D"/>
    <w:rsid w:val="00962AE2"/>
    <w:rsid w:val="009637FC"/>
    <w:rsid w:val="00967771"/>
    <w:rsid w:val="00967FBA"/>
    <w:rsid w:val="00970A1F"/>
    <w:rsid w:val="009721FA"/>
    <w:rsid w:val="00973168"/>
    <w:rsid w:val="00974640"/>
    <w:rsid w:val="0097636F"/>
    <w:rsid w:val="0097657F"/>
    <w:rsid w:val="0097731F"/>
    <w:rsid w:val="00981969"/>
    <w:rsid w:val="00982559"/>
    <w:rsid w:val="0098549C"/>
    <w:rsid w:val="00986F81"/>
    <w:rsid w:val="009905C6"/>
    <w:rsid w:val="00991FD6"/>
    <w:rsid w:val="00995D7C"/>
    <w:rsid w:val="009A0FE1"/>
    <w:rsid w:val="009A1CCA"/>
    <w:rsid w:val="009B0E2D"/>
    <w:rsid w:val="009B20DE"/>
    <w:rsid w:val="009B43EB"/>
    <w:rsid w:val="009B60F3"/>
    <w:rsid w:val="009B6DE4"/>
    <w:rsid w:val="009C215F"/>
    <w:rsid w:val="009C3E1C"/>
    <w:rsid w:val="009C483E"/>
    <w:rsid w:val="009C4CB8"/>
    <w:rsid w:val="009C5F82"/>
    <w:rsid w:val="009D046F"/>
    <w:rsid w:val="009D161F"/>
    <w:rsid w:val="009D5207"/>
    <w:rsid w:val="009D5473"/>
    <w:rsid w:val="009D5A4C"/>
    <w:rsid w:val="009D6AE3"/>
    <w:rsid w:val="009D6D94"/>
    <w:rsid w:val="009D7752"/>
    <w:rsid w:val="009E0B19"/>
    <w:rsid w:val="009E1C21"/>
    <w:rsid w:val="009E5289"/>
    <w:rsid w:val="009E5B47"/>
    <w:rsid w:val="009E5B6C"/>
    <w:rsid w:val="009E785B"/>
    <w:rsid w:val="009E7BF4"/>
    <w:rsid w:val="009F05AD"/>
    <w:rsid w:val="009F0EA6"/>
    <w:rsid w:val="009F29C8"/>
    <w:rsid w:val="009F549A"/>
    <w:rsid w:val="009F60E7"/>
    <w:rsid w:val="009F7A39"/>
    <w:rsid w:val="00A02016"/>
    <w:rsid w:val="00A0216A"/>
    <w:rsid w:val="00A03721"/>
    <w:rsid w:val="00A07079"/>
    <w:rsid w:val="00A12C51"/>
    <w:rsid w:val="00A15B34"/>
    <w:rsid w:val="00A16DD3"/>
    <w:rsid w:val="00A21ECC"/>
    <w:rsid w:val="00A22915"/>
    <w:rsid w:val="00A23945"/>
    <w:rsid w:val="00A24725"/>
    <w:rsid w:val="00A25F4B"/>
    <w:rsid w:val="00A26F30"/>
    <w:rsid w:val="00A272B5"/>
    <w:rsid w:val="00A32298"/>
    <w:rsid w:val="00A33B46"/>
    <w:rsid w:val="00A33C22"/>
    <w:rsid w:val="00A33C89"/>
    <w:rsid w:val="00A35580"/>
    <w:rsid w:val="00A36098"/>
    <w:rsid w:val="00A36327"/>
    <w:rsid w:val="00A369DF"/>
    <w:rsid w:val="00A36E98"/>
    <w:rsid w:val="00A40965"/>
    <w:rsid w:val="00A4353F"/>
    <w:rsid w:val="00A440D8"/>
    <w:rsid w:val="00A50BDB"/>
    <w:rsid w:val="00A5254D"/>
    <w:rsid w:val="00A5319F"/>
    <w:rsid w:val="00A57E5A"/>
    <w:rsid w:val="00A60B86"/>
    <w:rsid w:val="00A610B2"/>
    <w:rsid w:val="00A63E7D"/>
    <w:rsid w:val="00A64F1A"/>
    <w:rsid w:val="00A65C09"/>
    <w:rsid w:val="00A67DE5"/>
    <w:rsid w:val="00A74B64"/>
    <w:rsid w:val="00A74BA5"/>
    <w:rsid w:val="00A75496"/>
    <w:rsid w:val="00A8173E"/>
    <w:rsid w:val="00A8388B"/>
    <w:rsid w:val="00A840D1"/>
    <w:rsid w:val="00A85E77"/>
    <w:rsid w:val="00A8631C"/>
    <w:rsid w:val="00A8710C"/>
    <w:rsid w:val="00A910F9"/>
    <w:rsid w:val="00A916FA"/>
    <w:rsid w:val="00A918E6"/>
    <w:rsid w:val="00A91AC9"/>
    <w:rsid w:val="00A91F88"/>
    <w:rsid w:val="00A94657"/>
    <w:rsid w:val="00A953A6"/>
    <w:rsid w:val="00A95D32"/>
    <w:rsid w:val="00A965B9"/>
    <w:rsid w:val="00AA0E3A"/>
    <w:rsid w:val="00AA3DC2"/>
    <w:rsid w:val="00AA5113"/>
    <w:rsid w:val="00AA539D"/>
    <w:rsid w:val="00AA66C3"/>
    <w:rsid w:val="00AA6833"/>
    <w:rsid w:val="00AA7CA9"/>
    <w:rsid w:val="00AB3AFB"/>
    <w:rsid w:val="00AC111F"/>
    <w:rsid w:val="00AC2229"/>
    <w:rsid w:val="00AC2EED"/>
    <w:rsid w:val="00AC3A42"/>
    <w:rsid w:val="00AC5A2E"/>
    <w:rsid w:val="00AD0280"/>
    <w:rsid w:val="00AD2D7F"/>
    <w:rsid w:val="00AD437E"/>
    <w:rsid w:val="00AD4508"/>
    <w:rsid w:val="00AD5C70"/>
    <w:rsid w:val="00AD7CEA"/>
    <w:rsid w:val="00AE25AE"/>
    <w:rsid w:val="00AE49EE"/>
    <w:rsid w:val="00AE4FBA"/>
    <w:rsid w:val="00AE634C"/>
    <w:rsid w:val="00AF167A"/>
    <w:rsid w:val="00AF18C8"/>
    <w:rsid w:val="00AF283A"/>
    <w:rsid w:val="00AF30F4"/>
    <w:rsid w:val="00AF3FF0"/>
    <w:rsid w:val="00AF40CA"/>
    <w:rsid w:val="00AF5048"/>
    <w:rsid w:val="00AF63CF"/>
    <w:rsid w:val="00AF7972"/>
    <w:rsid w:val="00B0163B"/>
    <w:rsid w:val="00B01A1E"/>
    <w:rsid w:val="00B02282"/>
    <w:rsid w:val="00B0401E"/>
    <w:rsid w:val="00B11BE2"/>
    <w:rsid w:val="00B12934"/>
    <w:rsid w:val="00B16652"/>
    <w:rsid w:val="00B172C9"/>
    <w:rsid w:val="00B20850"/>
    <w:rsid w:val="00B249BA"/>
    <w:rsid w:val="00B272AC"/>
    <w:rsid w:val="00B27BBC"/>
    <w:rsid w:val="00B3122C"/>
    <w:rsid w:val="00B31D29"/>
    <w:rsid w:val="00B3261E"/>
    <w:rsid w:val="00B34224"/>
    <w:rsid w:val="00B3708F"/>
    <w:rsid w:val="00B46FB5"/>
    <w:rsid w:val="00B47598"/>
    <w:rsid w:val="00B47F6C"/>
    <w:rsid w:val="00B51152"/>
    <w:rsid w:val="00B51EB7"/>
    <w:rsid w:val="00B55AEC"/>
    <w:rsid w:val="00B571D1"/>
    <w:rsid w:val="00B602E2"/>
    <w:rsid w:val="00B61D25"/>
    <w:rsid w:val="00B632CC"/>
    <w:rsid w:val="00B6406A"/>
    <w:rsid w:val="00B64B21"/>
    <w:rsid w:val="00B65B55"/>
    <w:rsid w:val="00B67A60"/>
    <w:rsid w:val="00B70F1B"/>
    <w:rsid w:val="00B729BE"/>
    <w:rsid w:val="00B8489C"/>
    <w:rsid w:val="00B8490A"/>
    <w:rsid w:val="00B85715"/>
    <w:rsid w:val="00B858C7"/>
    <w:rsid w:val="00B87E80"/>
    <w:rsid w:val="00B9014D"/>
    <w:rsid w:val="00B9041C"/>
    <w:rsid w:val="00B93636"/>
    <w:rsid w:val="00B94D54"/>
    <w:rsid w:val="00BA13DF"/>
    <w:rsid w:val="00BA19E8"/>
    <w:rsid w:val="00BA382A"/>
    <w:rsid w:val="00BA520A"/>
    <w:rsid w:val="00BA59C6"/>
    <w:rsid w:val="00BA6206"/>
    <w:rsid w:val="00BC1437"/>
    <w:rsid w:val="00BC1B4D"/>
    <w:rsid w:val="00BC274D"/>
    <w:rsid w:val="00BC3B78"/>
    <w:rsid w:val="00BC4FB0"/>
    <w:rsid w:val="00BD16A0"/>
    <w:rsid w:val="00BD30C8"/>
    <w:rsid w:val="00BD70EC"/>
    <w:rsid w:val="00BE1860"/>
    <w:rsid w:val="00BE3842"/>
    <w:rsid w:val="00BE574E"/>
    <w:rsid w:val="00BE5B11"/>
    <w:rsid w:val="00BE6A5E"/>
    <w:rsid w:val="00BE739E"/>
    <w:rsid w:val="00BF04FD"/>
    <w:rsid w:val="00BF1661"/>
    <w:rsid w:val="00BF3799"/>
    <w:rsid w:val="00BF3F63"/>
    <w:rsid w:val="00BF4FCA"/>
    <w:rsid w:val="00BF5EF2"/>
    <w:rsid w:val="00C003FB"/>
    <w:rsid w:val="00C00D53"/>
    <w:rsid w:val="00C04CB4"/>
    <w:rsid w:val="00C063B6"/>
    <w:rsid w:val="00C079D4"/>
    <w:rsid w:val="00C1181A"/>
    <w:rsid w:val="00C1681F"/>
    <w:rsid w:val="00C22131"/>
    <w:rsid w:val="00C2411C"/>
    <w:rsid w:val="00C24F1F"/>
    <w:rsid w:val="00C3080D"/>
    <w:rsid w:val="00C3177E"/>
    <w:rsid w:val="00C33328"/>
    <w:rsid w:val="00C3361B"/>
    <w:rsid w:val="00C338D3"/>
    <w:rsid w:val="00C3543E"/>
    <w:rsid w:val="00C35605"/>
    <w:rsid w:val="00C35B11"/>
    <w:rsid w:val="00C40BC2"/>
    <w:rsid w:val="00C43C07"/>
    <w:rsid w:val="00C456AD"/>
    <w:rsid w:val="00C45A48"/>
    <w:rsid w:val="00C45B3A"/>
    <w:rsid w:val="00C46AE7"/>
    <w:rsid w:val="00C517C2"/>
    <w:rsid w:val="00C53BCC"/>
    <w:rsid w:val="00C549C1"/>
    <w:rsid w:val="00C6136A"/>
    <w:rsid w:val="00C62960"/>
    <w:rsid w:val="00C63366"/>
    <w:rsid w:val="00C64F87"/>
    <w:rsid w:val="00C70971"/>
    <w:rsid w:val="00C70DB1"/>
    <w:rsid w:val="00C7200E"/>
    <w:rsid w:val="00C72CC0"/>
    <w:rsid w:val="00C7374D"/>
    <w:rsid w:val="00C737B2"/>
    <w:rsid w:val="00C73810"/>
    <w:rsid w:val="00C762E6"/>
    <w:rsid w:val="00C76AD8"/>
    <w:rsid w:val="00C76C03"/>
    <w:rsid w:val="00C77D86"/>
    <w:rsid w:val="00C80AC8"/>
    <w:rsid w:val="00C81781"/>
    <w:rsid w:val="00C8194C"/>
    <w:rsid w:val="00C84183"/>
    <w:rsid w:val="00C864A8"/>
    <w:rsid w:val="00C87351"/>
    <w:rsid w:val="00C879A8"/>
    <w:rsid w:val="00C90C16"/>
    <w:rsid w:val="00C90F95"/>
    <w:rsid w:val="00C91A4D"/>
    <w:rsid w:val="00C94332"/>
    <w:rsid w:val="00C96A0B"/>
    <w:rsid w:val="00C97561"/>
    <w:rsid w:val="00CA1577"/>
    <w:rsid w:val="00CA2B34"/>
    <w:rsid w:val="00CA32B6"/>
    <w:rsid w:val="00CA3974"/>
    <w:rsid w:val="00CA3B7E"/>
    <w:rsid w:val="00CA5FD1"/>
    <w:rsid w:val="00CA7BBB"/>
    <w:rsid w:val="00CB02A4"/>
    <w:rsid w:val="00CB0829"/>
    <w:rsid w:val="00CB29CC"/>
    <w:rsid w:val="00CB4484"/>
    <w:rsid w:val="00CB5952"/>
    <w:rsid w:val="00CC0762"/>
    <w:rsid w:val="00CC32AD"/>
    <w:rsid w:val="00CC47CB"/>
    <w:rsid w:val="00CC5004"/>
    <w:rsid w:val="00CC5279"/>
    <w:rsid w:val="00CC5B52"/>
    <w:rsid w:val="00CC5F53"/>
    <w:rsid w:val="00CC7236"/>
    <w:rsid w:val="00CC7A29"/>
    <w:rsid w:val="00CD05CA"/>
    <w:rsid w:val="00CD1B45"/>
    <w:rsid w:val="00CD1EEB"/>
    <w:rsid w:val="00CD2670"/>
    <w:rsid w:val="00CD4EA8"/>
    <w:rsid w:val="00CD5D1D"/>
    <w:rsid w:val="00CD6FD7"/>
    <w:rsid w:val="00CD73CD"/>
    <w:rsid w:val="00CE0074"/>
    <w:rsid w:val="00CE0BAC"/>
    <w:rsid w:val="00CE5AA9"/>
    <w:rsid w:val="00CF05C5"/>
    <w:rsid w:val="00CF26EA"/>
    <w:rsid w:val="00CF32A9"/>
    <w:rsid w:val="00CF3FC4"/>
    <w:rsid w:val="00CF426F"/>
    <w:rsid w:val="00CF6A62"/>
    <w:rsid w:val="00D04628"/>
    <w:rsid w:val="00D05EC6"/>
    <w:rsid w:val="00D06177"/>
    <w:rsid w:val="00D07D96"/>
    <w:rsid w:val="00D116A5"/>
    <w:rsid w:val="00D13A86"/>
    <w:rsid w:val="00D1470D"/>
    <w:rsid w:val="00D2049B"/>
    <w:rsid w:val="00D204C1"/>
    <w:rsid w:val="00D226C7"/>
    <w:rsid w:val="00D23D13"/>
    <w:rsid w:val="00D23EA0"/>
    <w:rsid w:val="00D2422B"/>
    <w:rsid w:val="00D24A61"/>
    <w:rsid w:val="00D2570F"/>
    <w:rsid w:val="00D25870"/>
    <w:rsid w:val="00D25A75"/>
    <w:rsid w:val="00D25C4E"/>
    <w:rsid w:val="00D31617"/>
    <w:rsid w:val="00D31A44"/>
    <w:rsid w:val="00D31CA7"/>
    <w:rsid w:val="00D34592"/>
    <w:rsid w:val="00D35006"/>
    <w:rsid w:val="00D37034"/>
    <w:rsid w:val="00D373F4"/>
    <w:rsid w:val="00D40B7B"/>
    <w:rsid w:val="00D4484A"/>
    <w:rsid w:val="00D448BC"/>
    <w:rsid w:val="00D45208"/>
    <w:rsid w:val="00D452D4"/>
    <w:rsid w:val="00D4614C"/>
    <w:rsid w:val="00D46844"/>
    <w:rsid w:val="00D52BF8"/>
    <w:rsid w:val="00D52E4F"/>
    <w:rsid w:val="00D54A7E"/>
    <w:rsid w:val="00D55C86"/>
    <w:rsid w:val="00D6024B"/>
    <w:rsid w:val="00D6130E"/>
    <w:rsid w:val="00D65E12"/>
    <w:rsid w:val="00D65E35"/>
    <w:rsid w:val="00D66C50"/>
    <w:rsid w:val="00D67014"/>
    <w:rsid w:val="00D715CB"/>
    <w:rsid w:val="00D72090"/>
    <w:rsid w:val="00D75A70"/>
    <w:rsid w:val="00D75FA3"/>
    <w:rsid w:val="00D77F09"/>
    <w:rsid w:val="00D81165"/>
    <w:rsid w:val="00D84615"/>
    <w:rsid w:val="00D853EC"/>
    <w:rsid w:val="00D862E7"/>
    <w:rsid w:val="00D90A4B"/>
    <w:rsid w:val="00D93560"/>
    <w:rsid w:val="00D96BE7"/>
    <w:rsid w:val="00D9701E"/>
    <w:rsid w:val="00DA1285"/>
    <w:rsid w:val="00DA253D"/>
    <w:rsid w:val="00DA3C53"/>
    <w:rsid w:val="00DA73FB"/>
    <w:rsid w:val="00DA769A"/>
    <w:rsid w:val="00DA7FF1"/>
    <w:rsid w:val="00DB482D"/>
    <w:rsid w:val="00DB4DB6"/>
    <w:rsid w:val="00DB5CB1"/>
    <w:rsid w:val="00DB628F"/>
    <w:rsid w:val="00DB7B3C"/>
    <w:rsid w:val="00DC04FC"/>
    <w:rsid w:val="00DC2086"/>
    <w:rsid w:val="00DC4BA1"/>
    <w:rsid w:val="00DC6811"/>
    <w:rsid w:val="00DD2A77"/>
    <w:rsid w:val="00DD2EFA"/>
    <w:rsid w:val="00DD6BFE"/>
    <w:rsid w:val="00DE0122"/>
    <w:rsid w:val="00DE154B"/>
    <w:rsid w:val="00DE1C32"/>
    <w:rsid w:val="00DE2E75"/>
    <w:rsid w:val="00DE30FF"/>
    <w:rsid w:val="00DE4A43"/>
    <w:rsid w:val="00DE73C8"/>
    <w:rsid w:val="00DF2643"/>
    <w:rsid w:val="00DF2C31"/>
    <w:rsid w:val="00DF3416"/>
    <w:rsid w:val="00DF41DC"/>
    <w:rsid w:val="00DF597E"/>
    <w:rsid w:val="00E0111A"/>
    <w:rsid w:val="00E0141F"/>
    <w:rsid w:val="00E018D5"/>
    <w:rsid w:val="00E01A29"/>
    <w:rsid w:val="00E02B6D"/>
    <w:rsid w:val="00E04E01"/>
    <w:rsid w:val="00E062F1"/>
    <w:rsid w:val="00E0692B"/>
    <w:rsid w:val="00E079D1"/>
    <w:rsid w:val="00E11B37"/>
    <w:rsid w:val="00E120CA"/>
    <w:rsid w:val="00E13DEF"/>
    <w:rsid w:val="00E13F35"/>
    <w:rsid w:val="00E14D07"/>
    <w:rsid w:val="00E16D7C"/>
    <w:rsid w:val="00E172BC"/>
    <w:rsid w:val="00E211D8"/>
    <w:rsid w:val="00E26496"/>
    <w:rsid w:val="00E26C82"/>
    <w:rsid w:val="00E3158B"/>
    <w:rsid w:val="00E34D6F"/>
    <w:rsid w:val="00E34E26"/>
    <w:rsid w:val="00E3525E"/>
    <w:rsid w:val="00E40F5A"/>
    <w:rsid w:val="00E41AFB"/>
    <w:rsid w:val="00E42019"/>
    <w:rsid w:val="00E43F8B"/>
    <w:rsid w:val="00E44163"/>
    <w:rsid w:val="00E450CF"/>
    <w:rsid w:val="00E50A7E"/>
    <w:rsid w:val="00E5101F"/>
    <w:rsid w:val="00E52588"/>
    <w:rsid w:val="00E53914"/>
    <w:rsid w:val="00E54890"/>
    <w:rsid w:val="00E61349"/>
    <w:rsid w:val="00E62F9F"/>
    <w:rsid w:val="00E64375"/>
    <w:rsid w:val="00E65209"/>
    <w:rsid w:val="00E70DE1"/>
    <w:rsid w:val="00E7592E"/>
    <w:rsid w:val="00E76217"/>
    <w:rsid w:val="00E8141C"/>
    <w:rsid w:val="00E82903"/>
    <w:rsid w:val="00E8400D"/>
    <w:rsid w:val="00E847EE"/>
    <w:rsid w:val="00E851FA"/>
    <w:rsid w:val="00E85501"/>
    <w:rsid w:val="00E9085E"/>
    <w:rsid w:val="00E92A01"/>
    <w:rsid w:val="00E93915"/>
    <w:rsid w:val="00E9481D"/>
    <w:rsid w:val="00E94BE1"/>
    <w:rsid w:val="00E97750"/>
    <w:rsid w:val="00E977B5"/>
    <w:rsid w:val="00EA19B6"/>
    <w:rsid w:val="00EA1E21"/>
    <w:rsid w:val="00EA6FA3"/>
    <w:rsid w:val="00EB123B"/>
    <w:rsid w:val="00EB368B"/>
    <w:rsid w:val="00EB371A"/>
    <w:rsid w:val="00EB54BA"/>
    <w:rsid w:val="00EB66E3"/>
    <w:rsid w:val="00EB739F"/>
    <w:rsid w:val="00EC1887"/>
    <w:rsid w:val="00EC1FC9"/>
    <w:rsid w:val="00EC3328"/>
    <w:rsid w:val="00EC36A4"/>
    <w:rsid w:val="00EC5EF8"/>
    <w:rsid w:val="00EC60F7"/>
    <w:rsid w:val="00EC70BE"/>
    <w:rsid w:val="00EC7603"/>
    <w:rsid w:val="00ED015E"/>
    <w:rsid w:val="00ED11F4"/>
    <w:rsid w:val="00ED1FFA"/>
    <w:rsid w:val="00ED2237"/>
    <w:rsid w:val="00ED4143"/>
    <w:rsid w:val="00EE09A9"/>
    <w:rsid w:val="00EE0C17"/>
    <w:rsid w:val="00EE3494"/>
    <w:rsid w:val="00EE3B6A"/>
    <w:rsid w:val="00EE5E2A"/>
    <w:rsid w:val="00EE6C0A"/>
    <w:rsid w:val="00EE7859"/>
    <w:rsid w:val="00EF4BA3"/>
    <w:rsid w:val="00EF4F37"/>
    <w:rsid w:val="00EF5982"/>
    <w:rsid w:val="00F00C0A"/>
    <w:rsid w:val="00F0350E"/>
    <w:rsid w:val="00F03AE3"/>
    <w:rsid w:val="00F06DAA"/>
    <w:rsid w:val="00F06DFF"/>
    <w:rsid w:val="00F07028"/>
    <w:rsid w:val="00F126B3"/>
    <w:rsid w:val="00F13CBD"/>
    <w:rsid w:val="00F14353"/>
    <w:rsid w:val="00F14C0F"/>
    <w:rsid w:val="00F15232"/>
    <w:rsid w:val="00F17E32"/>
    <w:rsid w:val="00F21FD8"/>
    <w:rsid w:val="00F230DA"/>
    <w:rsid w:val="00F23A96"/>
    <w:rsid w:val="00F24A30"/>
    <w:rsid w:val="00F31D3F"/>
    <w:rsid w:val="00F33A91"/>
    <w:rsid w:val="00F35825"/>
    <w:rsid w:val="00F3656D"/>
    <w:rsid w:val="00F420EA"/>
    <w:rsid w:val="00F43002"/>
    <w:rsid w:val="00F43434"/>
    <w:rsid w:val="00F450B3"/>
    <w:rsid w:val="00F455B5"/>
    <w:rsid w:val="00F45D1B"/>
    <w:rsid w:val="00F52784"/>
    <w:rsid w:val="00F53CA3"/>
    <w:rsid w:val="00F54C00"/>
    <w:rsid w:val="00F55196"/>
    <w:rsid w:val="00F55709"/>
    <w:rsid w:val="00F56D77"/>
    <w:rsid w:val="00F60C5D"/>
    <w:rsid w:val="00F618CD"/>
    <w:rsid w:val="00F6324D"/>
    <w:rsid w:val="00F651B8"/>
    <w:rsid w:val="00F656D0"/>
    <w:rsid w:val="00F66523"/>
    <w:rsid w:val="00F707DA"/>
    <w:rsid w:val="00F7146C"/>
    <w:rsid w:val="00F73398"/>
    <w:rsid w:val="00F7351E"/>
    <w:rsid w:val="00F74E4D"/>
    <w:rsid w:val="00F74E84"/>
    <w:rsid w:val="00F75015"/>
    <w:rsid w:val="00F76B8E"/>
    <w:rsid w:val="00F76CBF"/>
    <w:rsid w:val="00F80214"/>
    <w:rsid w:val="00F81628"/>
    <w:rsid w:val="00F81962"/>
    <w:rsid w:val="00F83569"/>
    <w:rsid w:val="00F85899"/>
    <w:rsid w:val="00F87558"/>
    <w:rsid w:val="00F87926"/>
    <w:rsid w:val="00F87DF8"/>
    <w:rsid w:val="00F9007A"/>
    <w:rsid w:val="00F900C8"/>
    <w:rsid w:val="00F90337"/>
    <w:rsid w:val="00F9448A"/>
    <w:rsid w:val="00F95612"/>
    <w:rsid w:val="00F959A0"/>
    <w:rsid w:val="00F96C2C"/>
    <w:rsid w:val="00F97533"/>
    <w:rsid w:val="00FA25FC"/>
    <w:rsid w:val="00FA44DE"/>
    <w:rsid w:val="00FA5886"/>
    <w:rsid w:val="00FA7494"/>
    <w:rsid w:val="00FB1130"/>
    <w:rsid w:val="00FB15D6"/>
    <w:rsid w:val="00FB2226"/>
    <w:rsid w:val="00FB40F3"/>
    <w:rsid w:val="00FB64AE"/>
    <w:rsid w:val="00FB7B46"/>
    <w:rsid w:val="00FC1BD5"/>
    <w:rsid w:val="00FC2250"/>
    <w:rsid w:val="00FC2791"/>
    <w:rsid w:val="00FC29E4"/>
    <w:rsid w:val="00FD0A60"/>
    <w:rsid w:val="00FD0BAE"/>
    <w:rsid w:val="00FD2150"/>
    <w:rsid w:val="00FE0B74"/>
    <w:rsid w:val="00FE115F"/>
    <w:rsid w:val="00FE1737"/>
    <w:rsid w:val="00FE1788"/>
    <w:rsid w:val="00FE23CF"/>
    <w:rsid w:val="00FE2A3B"/>
    <w:rsid w:val="00FE3B87"/>
    <w:rsid w:val="00FE75D4"/>
    <w:rsid w:val="00FF0F7D"/>
    <w:rsid w:val="00FF2332"/>
    <w:rsid w:val="00FF5297"/>
    <w:rsid w:val="00FF642E"/>
    <w:rsid w:val="00FF6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F9B1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2EFA"/>
  </w:style>
  <w:style w:type="paragraph" w:styleId="Heading1">
    <w:name w:val="heading 1"/>
    <w:basedOn w:val="Normal"/>
    <w:next w:val="Normal"/>
    <w:link w:val="Heading1Char"/>
    <w:uiPriority w:val="9"/>
    <w:qFormat/>
    <w:rsid w:val="002B66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qFormat/>
    <w:rsid w:val="00DD2EFA"/>
    <w:pPr>
      <w:widowControl w:val="0"/>
      <w:spacing w:line="260" w:lineRule="exact"/>
      <w:jc w:val="both"/>
    </w:pPr>
    <w:rPr>
      <w:sz w:val="22"/>
    </w:rPr>
  </w:style>
  <w:style w:type="paragraph" w:customStyle="1" w:styleId="Document">
    <w:name w:val="_Document"/>
    <w:basedOn w:val="Journalfont"/>
    <w:qFormat/>
    <w:rsid w:val="00DD2EFA"/>
    <w:pPr>
      <w:widowControl/>
      <w:suppressLineNumbers/>
      <w:tabs>
        <w:tab w:val="left" w:pos="0"/>
        <w:tab w:val="left" w:pos="440"/>
        <w:tab w:val="left" w:pos="620"/>
      </w:tabs>
      <w:spacing w:before="100"/>
      <w:ind w:firstLine="440"/>
    </w:pPr>
  </w:style>
  <w:style w:type="paragraph" w:styleId="Header">
    <w:name w:val="header"/>
    <w:basedOn w:val="Normal"/>
    <w:semiHidden/>
    <w:rsid w:val="00DD2EFA"/>
    <w:pPr>
      <w:tabs>
        <w:tab w:val="center" w:pos="4320"/>
        <w:tab w:val="right" w:pos="8640"/>
      </w:tabs>
    </w:pPr>
  </w:style>
  <w:style w:type="paragraph" w:styleId="Footer">
    <w:name w:val="footer"/>
    <w:basedOn w:val="Normal"/>
    <w:semiHidden/>
    <w:rsid w:val="00DD2EFA"/>
    <w:pPr>
      <w:tabs>
        <w:tab w:val="center" w:pos="4320"/>
        <w:tab w:val="right" w:pos="8640"/>
      </w:tabs>
    </w:pPr>
  </w:style>
  <w:style w:type="character" w:styleId="PageNumber">
    <w:name w:val="page number"/>
    <w:basedOn w:val="DefaultParagraphFont"/>
    <w:semiHidden/>
    <w:rsid w:val="00DD2EFA"/>
  </w:style>
  <w:style w:type="paragraph" w:customStyle="1" w:styleId="FootNote">
    <w:name w:val="_FootNote"/>
    <w:basedOn w:val="Document"/>
    <w:qFormat/>
    <w:rsid w:val="00DD2EFA"/>
    <w:pPr>
      <w:tabs>
        <w:tab w:val="clear" w:pos="0"/>
        <w:tab w:val="clear" w:pos="440"/>
        <w:tab w:val="clear" w:pos="620"/>
        <w:tab w:val="right" w:pos="480"/>
        <w:tab w:val="left" w:pos="680"/>
      </w:tabs>
      <w:spacing w:before="0" w:line="200" w:lineRule="exact"/>
      <w:ind w:firstLine="0"/>
    </w:pPr>
    <w:rPr>
      <w:sz w:val="16"/>
    </w:rPr>
  </w:style>
  <w:style w:type="paragraph" w:customStyle="1" w:styleId="FootNotePara">
    <w:name w:val="_FootNotePara"/>
    <w:basedOn w:val="FootNote"/>
    <w:qFormat/>
    <w:rsid w:val="00DD2EFA"/>
    <w:pPr>
      <w:ind w:firstLine="400"/>
    </w:pPr>
  </w:style>
  <w:style w:type="character" w:customStyle="1" w:styleId="NoterefInText">
    <w:name w:val="_NoterefInText"/>
    <w:basedOn w:val="DefaultParagraphFont"/>
    <w:qFormat/>
    <w:rsid w:val="00DD2EFA"/>
    <w:rPr>
      <w:rFonts w:ascii="Times New Roman" w:hAnsi="Times New Roman"/>
      <w:position w:val="8"/>
      <w:sz w:val="15"/>
      <w:vertAlign w:val="baseline"/>
    </w:rPr>
  </w:style>
  <w:style w:type="character" w:customStyle="1" w:styleId="NoterefInNote">
    <w:name w:val="_NoterefInNote"/>
    <w:basedOn w:val="DefaultParagraphFont"/>
    <w:qFormat/>
    <w:rsid w:val="00DD2EFA"/>
    <w:rPr>
      <w:rFonts w:ascii="Times New Roman" w:hAnsi="Times New Roman"/>
      <w:sz w:val="16"/>
      <w:vertAlign w:val="baseline"/>
    </w:rPr>
  </w:style>
  <w:style w:type="paragraph" w:customStyle="1" w:styleId="1StQuoteFN">
    <w:name w:val="_1StQuoteFN"/>
    <w:basedOn w:val="FootNote"/>
    <w:next w:val="FootNote"/>
    <w:qFormat/>
    <w:rsid w:val="00DD2EFA"/>
    <w:pPr>
      <w:tabs>
        <w:tab w:val="clear" w:pos="480"/>
        <w:tab w:val="clear" w:pos="680"/>
        <w:tab w:val="left" w:pos="560"/>
      </w:tabs>
      <w:spacing w:line="170" w:lineRule="exact"/>
      <w:ind w:left="317" w:right="317"/>
    </w:pPr>
  </w:style>
  <w:style w:type="paragraph" w:customStyle="1" w:styleId="2NdQuoteFN">
    <w:name w:val="_2NdQuoteFN"/>
    <w:basedOn w:val="FootNote"/>
    <w:next w:val="FootNote"/>
    <w:qFormat/>
    <w:rsid w:val="00DD2EFA"/>
    <w:pPr>
      <w:spacing w:before="40" w:line="170" w:lineRule="exact"/>
      <w:ind w:left="640" w:right="320"/>
    </w:pPr>
  </w:style>
  <w:style w:type="paragraph" w:customStyle="1" w:styleId="3RdQuoteFN">
    <w:name w:val="_3RdQuoteFN"/>
    <w:basedOn w:val="FootNote"/>
    <w:next w:val="FootNote"/>
    <w:qFormat/>
    <w:rsid w:val="00DD2EFA"/>
    <w:pPr>
      <w:spacing w:before="40" w:line="170" w:lineRule="exact"/>
      <w:ind w:left="960" w:right="320"/>
    </w:pPr>
  </w:style>
  <w:style w:type="paragraph" w:customStyle="1" w:styleId="4ThQuoteFN">
    <w:name w:val="_4ThQuoteFN"/>
    <w:basedOn w:val="FootNote"/>
    <w:next w:val="FootNote"/>
    <w:qFormat/>
    <w:rsid w:val="00DD2EFA"/>
    <w:pPr>
      <w:spacing w:before="40" w:line="170" w:lineRule="exact"/>
      <w:ind w:left="1280" w:right="320"/>
    </w:pPr>
  </w:style>
  <w:style w:type="paragraph" w:customStyle="1" w:styleId="1StQuoteTXT">
    <w:name w:val="_1StQuoteTXT"/>
    <w:basedOn w:val="Document"/>
    <w:next w:val="Document"/>
    <w:qFormat/>
    <w:rsid w:val="00DD2EFA"/>
    <w:pPr>
      <w:tabs>
        <w:tab w:val="clear" w:pos="0"/>
        <w:tab w:val="clear" w:pos="440"/>
      </w:tabs>
      <w:spacing w:before="40" w:after="40" w:line="240" w:lineRule="exact"/>
      <w:ind w:left="400" w:right="400" w:firstLine="0"/>
    </w:pPr>
    <w:rPr>
      <w:sz w:val="20"/>
    </w:rPr>
  </w:style>
  <w:style w:type="paragraph" w:customStyle="1" w:styleId="2NdQuoteTXT">
    <w:name w:val="_2NdQuoteTXT"/>
    <w:basedOn w:val="Document"/>
    <w:next w:val="Document"/>
    <w:qFormat/>
    <w:rsid w:val="00DD2EFA"/>
    <w:pPr>
      <w:spacing w:before="40" w:after="40" w:line="240" w:lineRule="exact"/>
      <w:ind w:left="800" w:right="400" w:firstLine="0"/>
    </w:pPr>
    <w:rPr>
      <w:sz w:val="20"/>
    </w:rPr>
  </w:style>
  <w:style w:type="paragraph" w:customStyle="1" w:styleId="3RdQuoteTXT">
    <w:name w:val="_3RdQuoteTXT"/>
    <w:basedOn w:val="Document"/>
    <w:next w:val="Document"/>
    <w:qFormat/>
    <w:rsid w:val="00DD2EFA"/>
    <w:pPr>
      <w:spacing w:before="40" w:after="40" w:line="240" w:lineRule="exact"/>
      <w:ind w:left="1200" w:right="400" w:firstLine="0"/>
    </w:pPr>
    <w:rPr>
      <w:sz w:val="20"/>
    </w:rPr>
  </w:style>
  <w:style w:type="paragraph" w:customStyle="1" w:styleId="4ThQuoteTXT">
    <w:name w:val="_4ThQuoteTXT"/>
    <w:basedOn w:val="Document"/>
    <w:next w:val="Document"/>
    <w:qFormat/>
    <w:rsid w:val="00DD2EFA"/>
    <w:pPr>
      <w:spacing w:before="40" w:after="40" w:line="240" w:lineRule="exact"/>
      <w:ind w:left="1600" w:right="400" w:firstLine="0"/>
    </w:pPr>
    <w:rPr>
      <w:sz w:val="20"/>
    </w:rPr>
  </w:style>
  <w:style w:type="paragraph" w:customStyle="1" w:styleId="Toc0">
    <w:name w:val="_Toc0"/>
    <w:basedOn w:val="Document"/>
    <w:next w:val="Document"/>
    <w:qFormat/>
    <w:rsid w:val="00DD2EFA"/>
    <w:pPr>
      <w:tabs>
        <w:tab w:val="clear" w:pos="0"/>
        <w:tab w:val="clear" w:pos="440"/>
        <w:tab w:val="clear" w:pos="620"/>
        <w:tab w:val="right" w:leader="dot" w:pos="6720"/>
      </w:tabs>
      <w:spacing w:before="0"/>
      <w:ind w:firstLine="0"/>
      <w:jc w:val="left"/>
    </w:pPr>
    <w:rPr>
      <w:caps/>
    </w:rPr>
  </w:style>
  <w:style w:type="paragraph" w:customStyle="1" w:styleId="Toc1">
    <w:name w:val="_Toc1"/>
    <w:basedOn w:val="Document"/>
    <w:next w:val="Document"/>
    <w:qFormat/>
    <w:rsid w:val="00DD2EFA"/>
    <w:pPr>
      <w:tabs>
        <w:tab w:val="clear" w:pos="0"/>
        <w:tab w:val="clear" w:pos="620"/>
        <w:tab w:val="right" w:pos="440"/>
        <w:tab w:val="left" w:pos="600"/>
        <w:tab w:val="right" w:leader="dot" w:pos="6720"/>
      </w:tabs>
      <w:spacing w:before="0"/>
      <w:ind w:left="600" w:right="440" w:hanging="600"/>
      <w:jc w:val="left"/>
    </w:pPr>
    <w:rPr>
      <w:caps/>
    </w:rPr>
  </w:style>
  <w:style w:type="paragraph" w:customStyle="1" w:styleId="Toc2">
    <w:name w:val="_Toc2"/>
    <w:basedOn w:val="Document"/>
    <w:next w:val="Document"/>
    <w:qFormat/>
    <w:rsid w:val="00DD2EFA"/>
    <w:pPr>
      <w:tabs>
        <w:tab w:val="clear" w:pos="0"/>
        <w:tab w:val="clear" w:pos="440"/>
        <w:tab w:val="clear" w:pos="620"/>
        <w:tab w:val="left" w:pos="400"/>
        <w:tab w:val="right" w:leader="dot" w:pos="6720"/>
      </w:tabs>
      <w:spacing w:before="0"/>
      <w:ind w:left="1000" w:right="440" w:hanging="400"/>
      <w:jc w:val="left"/>
    </w:pPr>
    <w:rPr>
      <w:smallCaps/>
    </w:rPr>
  </w:style>
  <w:style w:type="paragraph" w:customStyle="1" w:styleId="Toc3">
    <w:name w:val="_Toc3"/>
    <w:basedOn w:val="Document"/>
    <w:next w:val="Document"/>
    <w:qFormat/>
    <w:rsid w:val="00DD2EFA"/>
    <w:pPr>
      <w:tabs>
        <w:tab w:val="clear" w:pos="0"/>
        <w:tab w:val="clear" w:pos="440"/>
        <w:tab w:val="clear" w:pos="620"/>
        <w:tab w:val="left" w:pos="320"/>
        <w:tab w:val="right" w:leader="dot" w:pos="6720"/>
      </w:tabs>
      <w:spacing w:before="0"/>
      <w:ind w:left="1320" w:right="440" w:hanging="320"/>
      <w:jc w:val="left"/>
    </w:pPr>
  </w:style>
  <w:style w:type="paragraph" w:customStyle="1" w:styleId="Toc4">
    <w:name w:val="_Toc4"/>
    <w:basedOn w:val="Document"/>
    <w:next w:val="Document"/>
    <w:qFormat/>
    <w:rsid w:val="00DD2EFA"/>
    <w:pPr>
      <w:tabs>
        <w:tab w:val="clear" w:pos="0"/>
        <w:tab w:val="clear" w:pos="440"/>
        <w:tab w:val="clear" w:pos="620"/>
        <w:tab w:val="left" w:pos="360"/>
        <w:tab w:val="right" w:leader="dot" w:pos="6720"/>
      </w:tabs>
      <w:spacing w:before="0"/>
      <w:ind w:left="1680" w:right="440" w:hanging="360"/>
      <w:jc w:val="left"/>
    </w:pPr>
  </w:style>
  <w:style w:type="paragraph" w:customStyle="1" w:styleId="Toc5">
    <w:name w:val="_Toc5"/>
    <w:basedOn w:val="Document"/>
    <w:next w:val="Document"/>
    <w:qFormat/>
    <w:rsid w:val="00DD2EFA"/>
    <w:pPr>
      <w:tabs>
        <w:tab w:val="clear" w:pos="0"/>
        <w:tab w:val="clear" w:pos="440"/>
        <w:tab w:val="clear" w:pos="620"/>
        <w:tab w:val="right" w:pos="360"/>
        <w:tab w:val="right" w:leader="dot" w:pos="6720"/>
      </w:tabs>
      <w:spacing w:before="0"/>
      <w:ind w:left="2040" w:right="440" w:hanging="360"/>
      <w:jc w:val="left"/>
    </w:pPr>
  </w:style>
  <w:style w:type="paragraph" w:customStyle="1" w:styleId="SectionHead">
    <w:name w:val="_SectionHead"/>
    <w:basedOn w:val="Journalfont"/>
    <w:next w:val="Document"/>
    <w:qFormat/>
    <w:rsid w:val="00DD2EFA"/>
    <w:pPr>
      <w:keepNext/>
      <w:suppressLineNumbers/>
      <w:suppressAutoHyphens/>
      <w:spacing w:after="480" w:line="440" w:lineRule="exact"/>
      <w:jc w:val="center"/>
    </w:pPr>
    <w:rPr>
      <w:caps/>
      <w:sz w:val="36"/>
    </w:rPr>
  </w:style>
  <w:style w:type="paragraph" w:customStyle="1" w:styleId="Head1-Articles">
    <w:name w:val="_Head1-Articles"/>
    <w:basedOn w:val="Journalfont"/>
    <w:next w:val="Document"/>
    <w:qFormat/>
    <w:rsid w:val="00DD2EFA"/>
    <w:pPr>
      <w:keepNext/>
      <w:suppressLineNumbers/>
      <w:suppressAutoHyphens/>
      <w:spacing w:after="480" w:line="440" w:lineRule="exact"/>
      <w:jc w:val="center"/>
    </w:pPr>
    <w:rPr>
      <w:caps/>
      <w:sz w:val="36"/>
    </w:rPr>
  </w:style>
  <w:style w:type="paragraph" w:customStyle="1" w:styleId="Head2-Notes">
    <w:name w:val="_Head2-Notes"/>
    <w:aliases w:val="Comments"/>
    <w:basedOn w:val="Journalfont"/>
    <w:next w:val="Document"/>
    <w:qFormat/>
    <w:rsid w:val="00DD2EFA"/>
    <w:pPr>
      <w:keepNext/>
      <w:suppressLineNumbers/>
      <w:suppressAutoHyphens/>
      <w:spacing w:after="320" w:line="440" w:lineRule="exact"/>
      <w:jc w:val="center"/>
    </w:pPr>
    <w:rPr>
      <w:sz w:val="36"/>
    </w:rPr>
  </w:style>
  <w:style w:type="paragraph" w:customStyle="1" w:styleId="AuthorName1-Articles">
    <w:name w:val="_AuthorName1-Articles"/>
    <w:basedOn w:val="Journalfont"/>
    <w:next w:val="Document"/>
    <w:qFormat/>
    <w:rsid w:val="00DD2EFA"/>
    <w:pPr>
      <w:keepNext/>
      <w:suppressLineNumbers/>
      <w:suppressAutoHyphens/>
      <w:spacing w:after="380"/>
      <w:jc w:val="center"/>
    </w:pPr>
    <w:rPr>
      <w:smallCaps/>
    </w:rPr>
  </w:style>
  <w:style w:type="paragraph" w:customStyle="1" w:styleId="AuthorName2-Students">
    <w:name w:val="_AuthorName2-Students"/>
    <w:basedOn w:val="Journalfont"/>
    <w:next w:val="Document"/>
    <w:qFormat/>
    <w:rsid w:val="00DD2EFA"/>
    <w:pPr>
      <w:keepNext/>
      <w:suppressLineNumbers/>
      <w:suppressAutoHyphens/>
      <w:spacing w:before="320"/>
      <w:jc w:val="right"/>
    </w:pPr>
    <w:rPr>
      <w:i/>
    </w:rPr>
  </w:style>
  <w:style w:type="paragraph" w:customStyle="1" w:styleId="SubHead1">
    <w:name w:val="_SubHead1"/>
    <w:basedOn w:val="Journalfont"/>
    <w:next w:val="Document"/>
    <w:qFormat/>
    <w:rsid w:val="00DD2EFA"/>
    <w:pPr>
      <w:keepNext/>
      <w:keepLines/>
      <w:suppressLineNumbers/>
      <w:tabs>
        <w:tab w:val="left" w:pos="360"/>
      </w:tabs>
      <w:suppressAutoHyphens/>
      <w:spacing w:before="220" w:after="120"/>
      <w:jc w:val="center"/>
    </w:pPr>
    <w:rPr>
      <w:caps/>
    </w:rPr>
  </w:style>
  <w:style w:type="paragraph" w:customStyle="1" w:styleId="SubHead2">
    <w:name w:val="_SubHead2"/>
    <w:basedOn w:val="Journalfont"/>
    <w:next w:val="Document"/>
    <w:qFormat/>
    <w:rsid w:val="00DD2EFA"/>
    <w:pPr>
      <w:keepNext/>
      <w:keepLines/>
      <w:suppressLineNumbers/>
      <w:tabs>
        <w:tab w:val="left" w:pos="360"/>
      </w:tabs>
      <w:suppressAutoHyphens/>
      <w:spacing w:before="220" w:after="120"/>
      <w:jc w:val="center"/>
    </w:pPr>
    <w:rPr>
      <w:smallCaps/>
    </w:rPr>
  </w:style>
  <w:style w:type="paragraph" w:customStyle="1" w:styleId="SubHead3">
    <w:name w:val="_SubHead3"/>
    <w:basedOn w:val="Journalfont"/>
    <w:next w:val="Document"/>
    <w:qFormat/>
    <w:rsid w:val="00DD2EFA"/>
    <w:pPr>
      <w:keepNext/>
      <w:keepLines/>
      <w:suppressLineNumbers/>
      <w:tabs>
        <w:tab w:val="left" w:pos="320"/>
      </w:tabs>
      <w:spacing w:before="200" w:after="80"/>
      <w:ind w:left="360" w:hanging="360"/>
      <w:jc w:val="left"/>
    </w:pPr>
  </w:style>
  <w:style w:type="paragraph" w:customStyle="1" w:styleId="SubHead4">
    <w:name w:val="_SubHead4"/>
    <w:basedOn w:val="Document"/>
    <w:next w:val="Document"/>
    <w:qFormat/>
    <w:rsid w:val="00DD2EFA"/>
    <w:pPr>
      <w:tabs>
        <w:tab w:val="clear" w:pos="0"/>
        <w:tab w:val="clear" w:pos="440"/>
        <w:tab w:val="clear" w:pos="620"/>
        <w:tab w:val="left" w:pos="800"/>
      </w:tabs>
      <w:suppressAutoHyphens/>
    </w:pPr>
  </w:style>
  <w:style w:type="paragraph" w:customStyle="1" w:styleId="SubHead5">
    <w:name w:val="_SubHead5"/>
    <w:basedOn w:val="Journalfont"/>
    <w:next w:val="Document"/>
    <w:qFormat/>
    <w:rsid w:val="00DD2EFA"/>
    <w:pPr>
      <w:widowControl/>
      <w:suppressLineNumbers/>
      <w:tabs>
        <w:tab w:val="left" w:pos="1020"/>
      </w:tabs>
      <w:suppressAutoHyphens/>
      <w:spacing w:before="100"/>
      <w:ind w:firstLine="660"/>
    </w:pPr>
  </w:style>
  <w:style w:type="paragraph" w:customStyle="1" w:styleId="END">
    <w:name w:val="_END"/>
    <w:basedOn w:val="Journalfont"/>
    <w:next w:val="Document"/>
    <w:rsid w:val="00DD2EFA"/>
    <w:pPr>
      <w:suppressLineNumbers/>
      <w:spacing w:line="0" w:lineRule="atLeast"/>
    </w:pPr>
  </w:style>
  <w:style w:type="paragraph" w:customStyle="1" w:styleId="1StLineQuoteFN-1Num">
    <w:name w:val="_1StLineQuoteFN-1Num"/>
    <w:basedOn w:val="FootNote"/>
    <w:next w:val="FootNote"/>
    <w:qFormat/>
    <w:rsid w:val="00DD2EFA"/>
    <w:pPr>
      <w:tabs>
        <w:tab w:val="clear" w:pos="480"/>
        <w:tab w:val="left" w:pos="370"/>
      </w:tabs>
      <w:ind w:left="320" w:right="320"/>
    </w:pPr>
  </w:style>
  <w:style w:type="paragraph" w:customStyle="1" w:styleId="1StLineQuoteFN-2Num">
    <w:name w:val="_1StLineQuoteFN-2Num"/>
    <w:basedOn w:val="FootNote"/>
    <w:next w:val="FootNote"/>
    <w:qFormat/>
    <w:rsid w:val="00DD2EFA"/>
    <w:pPr>
      <w:tabs>
        <w:tab w:val="clear" w:pos="480"/>
        <w:tab w:val="left" w:pos="290"/>
      </w:tabs>
      <w:spacing w:line="170" w:lineRule="exact"/>
      <w:ind w:left="320" w:right="320" w:hanging="320"/>
    </w:pPr>
  </w:style>
  <w:style w:type="paragraph" w:customStyle="1" w:styleId="1StLineQuoteFN-3Num">
    <w:name w:val="_1StLineQuoteFN-3Num"/>
    <w:basedOn w:val="1StLineQuoteFN-1Num"/>
    <w:next w:val="FootNote"/>
    <w:qFormat/>
    <w:rsid w:val="00DD2EFA"/>
    <w:pPr>
      <w:tabs>
        <w:tab w:val="clear" w:pos="370"/>
        <w:tab w:val="left" w:pos="210"/>
      </w:tabs>
      <w:spacing w:line="170" w:lineRule="exact"/>
      <w:ind w:hanging="320"/>
    </w:pPr>
  </w:style>
  <w:style w:type="paragraph" w:styleId="TOC20">
    <w:name w:val="toc 2"/>
    <w:basedOn w:val="Toc2"/>
    <w:next w:val="Journalfont"/>
    <w:autoRedefine/>
    <w:uiPriority w:val="39"/>
    <w:rsid w:val="00E13DEF"/>
    <w:pPr>
      <w:suppressLineNumbers w:val="0"/>
      <w:tabs>
        <w:tab w:val="clear" w:pos="400"/>
        <w:tab w:val="clear" w:pos="6720"/>
        <w:tab w:val="right" w:leader="dot" w:pos="6670"/>
      </w:tabs>
      <w:ind w:left="450" w:right="0" w:hanging="270"/>
    </w:pPr>
    <w:rPr>
      <w:rFonts w:asciiTheme="minorHAnsi" w:hAnsiTheme="minorHAnsi"/>
      <w:b/>
      <w:bCs/>
      <w:smallCaps w:val="0"/>
      <w:szCs w:val="22"/>
    </w:rPr>
  </w:style>
  <w:style w:type="paragraph" w:styleId="TOC30">
    <w:name w:val="toc 3"/>
    <w:basedOn w:val="Toc3"/>
    <w:next w:val="Journalfont"/>
    <w:autoRedefine/>
    <w:uiPriority w:val="39"/>
    <w:rsid w:val="009167FB"/>
    <w:pPr>
      <w:suppressLineNumbers w:val="0"/>
      <w:tabs>
        <w:tab w:val="clear" w:pos="320"/>
        <w:tab w:val="clear" w:pos="6720"/>
      </w:tabs>
      <w:spacing w:line="240" w:lineRule="auto"/>
      <w:ind w:left="400" w:right="0" w:firstLine="0"/>
    </w:pPr>
    <w:rPr>
      <w:rFonts w:asciiTheme="minorHAnsi" w:hAnsiTheme="minorHAnsi"/>
      <w:szCs w:val="22"/>
    </w:rPr>
  </w:style>
  <w:style w:type="paragraph" w:styleId="TOC40">
    <w:name w:val="toc 4"/>
    <w:basedOn w:val="Toc4"/>
    <w:next w:val="Journalfont"/>
    <w:autoRedefine/>
    <w:uiPriority w:val="39"/>
    <w:rsid w:val="009167FB"/>
    <w:pPr>
      <w:suppressLineNumbers w:val="0"/>
      <w:tabs>
        <w:tab w:val="clear" w:pos="360"/>
        <w:tab w:val="clear" w:pos="6720"/>
      </w:tabs>
      <w:spacing w:line="240" w:lineRule="auto"/>
      <w:ind w:left="600" w:right="0" w:firstLine="0"/>
    </w:pPr>
    <w:rPr>
      <w:rFonts w:asciiTheme="minorHAnsi" w:hAnsiTheme="minorHAnsi"/>
      <w:sz w:val="20"/>
    </w:rPr>
  </w:style>
  <w:style w:type="paragraph" w:styleId="TOC50">
    <w:name w:val="toc 5"/>
    <w:basedOn w:val="Toc5"/>
    <w:next w:val="Journalfont"/>
    <w:autoRedefine/>
    <w:uiPriority w:val="39"/>
    <w:rsid w:val="006271A3"/>
    <w:pPr>
      <w:suppressLineNumbers w:val="0"/>
      <w:tabs>
        <w:tab w:val="clear" w:pos="360"/>
        <w:tab w:val="clear" w:pos="6720"/>
      </w:tabs>
      <w:spacing w:line="240" w:lineRule="auto"/>
      <w:ind w:left="800" w:right="0" w:firstLine="0"/>
    </w:pPr>
    <w:rPr>
      <w:rFonts w:asciiTheme="minorHAnsi" w:hAnsiTheme="minorHAnsi"/>
      <w:sz w:val="20"/>
    </w:rPr>
  </w:style>
  <w:style w:type="paragraph" w:styleId="TOC10">
    <w:name w:val="toc 1"/>
    <w:basedOn w:val="Toc1"/>
    <w:next w:val="Journalfont"/>
    <w:autoRedefine/>
    <w:uiPriority w:val="39"/>
    <w:rsid w:val="00472D00"/>
    <w:pPr>
      <w:suppressLineNumbers w:val="0"/>
      <w:tabs>
        <w:tab w:val="clear" w:pos="440"/>
        <w:tab w:val="clear" w:pos="600"/>
        <w:tab w:val="clear" w:pos="6720"/>
        <w:tab w:val="right" w:leader="dot" w:pos="6670"/>
      </w:tabs>
      <w:ind w:left="0" w:right="0" w:firstLine="0"/>
    </w:pPr>
    <w:rPr>
      <w:rFonts w:asciiTheme="minorHAnsi" w:hAnsiTheme="minorHAnsi"/>
      <w:b/>
      <w:bCs/>
      <w:caps w:val="0"/>
      <w:sz w:val="24"/>
    </w:rPr>
  </w:style>
  <w:style w:type="paragraph" w:customStyle="1" w:styleId="Caption">
    <w:name w:val="_Caption"/>
    <w:basedOn w:val="1StQuoteTXT"/>
    <w:next w:val="Document"/>
    <w:rsid w:val="00DD2EFA"/>
    <w:pPr>
      <w:suppressLineNumbers w:val="0"/>
      <w:tabs>
        <w:tab w:val="clear" w:pos="620"/>
        <w:tab w:val="left" w:pos="900"/>
      </w:tabs>
      <w:ind w:left="1300" w:hanging="900"/>
      <w:jc w:val="left"/>
    </w:pPr>
  </w:style>
  <w:style w:type="paragraph" w:styleId="ListParagraph">
    <w:name w:val="List Paragraph"/>
    <w:basedOn w:val="Normal"/>
    <w:uiPriority w:val="34"/>
    <w:rsid w:val="00DD2EFA"/>
    <w:pPr>
      <w:ind w:left="720"/>
      <w:contextualSpacing/>
    </w:pPr>
  </w:style>
  <w:style w:type="paragraph" w:styleId="BlockText">
    <w:name w:val="Block Text"/>
    <w:basedOn w:val="Normal"/>
    <w:semiHidden/>
    <w:rsid w:val="00DD2EFA"/>
    <w:pPr>
      <w:spacing w:after="120"/>
      <w:ind w:left="1440" w:right="1440"/>
    </w:pPr>
  </w:style>
  <w:style w:type="paragraph" w:customStyle="1" w:styleId="header0">
    <w:name w:val="_header"/>
    <w:basedOn w:val="Header"/>
    <w:qFormat/>
    <w:rsid w:val="00DD2EFA"/>
    <w:pPr>
      <w:pBdr>
        <w:top w:val="single" w:sz="6" w:space="1" w:color="auto"/>
        <w:bottom w:val="single" w:sz="6" w:space="1" w:color="auto"/>
      </w:pBdr>
      <w:tabs>
        <w:tab w:val="clear" w:pos="4320"/>
        <w:tab w:val="clear" w:pos="8640"/>
        <w:tab w:val="right" w:pos="6720"/>
      </w:tabs>
    </w:pPr>
    <w:rPr>
      <w:smallCaps/>
      <w:sz w:val="14"/>
    </w:rPr>
  </w:style>
  <w:style w:type="paragraph" w:styleId="ListNumber2">
    <w:name w:val="List Number 2"/>
    <w:basedOn w:val="Normal"/>
    <w:semiHidden/>
    <w:rsid w:val="00DD2EFA"/>
    <w:pPr>
      <w:numPr>
        <w:numId w:val="12"/>
      </w:numPr>
    </w:pPr>
  </w:style>
  <w:style w:type="paragraph" w:styleId="BalloonText">
    <w:name w:val="Balloon Text"/>
    <w:basedOn w:val="Normal"/>
    <w:link w:val="BalloonTextChar"/>
    <w:uiPriority w:val="99"/>
    <w:semiHidden/>
    <w:unhideWhenUsed/>
    <w:rsid w:val="000734D4"/>
    <w:rPr>
      <w:rFonts w:ascii="Tahoma" w:hAnsi="Tahoma" w:cs="Tahoma"/>
      <w:sz w:val="16"/>
      <w:szCs w:val="16"/>
    </w:rPr>
  </w:style>
  <w:style w:type="character" w:customStyle="1" w:styleId="BalloonTextChar">
    <w:name w:val="Balloon Text Char"/>
    <w:basedOn w:val="DefaultParagraphFont"/>
    <w:link w:val="BalloonText"/>
    <w:uiPriority w:val="99"/>
    <w:semiHidden/>
    <w:rsid w:val="000734D4"/>
    <w:rPr>
      <w:rFonts w:ascii="Tahoma" w:hAnsi="Tahoma" w:cs="Tahoma"/>
      <w:sz w:val="16"/>
      <w:szCs w:val="16"/>
    </w:rPr>
  </w:style>
  <w:style w:type="character" w:styleId="FootnoteReference">
    <w:name w:val="footnote reference"/>
    <w:basedOn w:val="DefaultParagraphFont"/>
    <w:uiPriority w:val="99"/>
    <w:unhideWhenUsed/>
    <w:rsid w:val="00DD2EFA"/>
    <w:rPr>
      <w:vertAlign w:val="superscript"/>
    </w:rPr>
  </w:style>
  <w:style w:type="paragraph" w:styleId="FootnoteText">
    <w:name w:val="footnote text"/>
    <w:basedOn w:val="Normal"/>
    <w:link w:val="FootnoteTextChar"/>
    <w:uiPriority w:val="99"/>
    <w:unhideWhenUsed/>
    <w:rsid w:val="00DD2EFA"/>
  </w:style>
  <w:style w:type="character" w:customStyle="1" w:styleId="FootnoteTextChar">
    <w:name w:val="Footnote Text Char"/>
    <w:basedOn w:val="DefaultParagraphFont"/>
    <w:link w:val="FootnoteText"/>
    <w:uiPriority w:val="99"/>
    <w:rsid w:val="00DD2EFA"/>
  </w:style>
  <w:style w:type="paragraph" w:styleId="Revision">
    <w:name w:val="Revision"/>
    <w:hidden/>
    <w:uiPriority w:val="99"/>
    <w:semiHidden/>
    <w:rsid w:val="00EC1887"/>
  </w:style>
  <w:style w:type="character" w:styleId="CommentReference">
    <w:name w:val="annotation reference"/>
    <w:basedOn w:val="DefaultParagraphFont"/>
    <w:uiPriority w:val="99"/>
    <w:semiHidden/>
    <w:unhideWhenUsed/>
    <w:rsid w:val="0088018F"/>
    <w:rPr>
      <w:sz w:val="18"/>
      <w:szCs w:val="18"/>
    </w:rPr>
  </w:style>
  <w:style w:type="paragraph" w:styleId="CommentText">
    <w:name w:val="annotation text"/>
    <w:basedOn w:val="Normal"/>
    <w:link w:val="CommentTextChar"/>
    <w:uiPriority w:val="99"/>
    <w:semiHidden/>
    <w:unhideWhenUsed/>
    <w:rsid w:val="0088018F"/>
  </w:style>
  <w:style w:type="character" w:customStyle="1" w:styleId="CommentTextChar">
    <w:name w:val="Comment Text Char"/>
    <w:basedOn w:val="DefaultParagraphFont"/>
    <w:link w:val="CommentText"/>
    <w:uiPriority w:val="99"/>
    <w:semiHidden/>
    <w:rsid w:val="0088018F"/>
    <w:rPr>
      <w:sz w:val="24"/>
      <w:szCs w:val="24"/>
    </w:rPr>
  </w:style>
  <w:style w:type="paragraph" w:styleId="CommentSubject">
    <w:name w:val="annotation subject"/>
    <w:basedOn w:val="CommentText"/>
    <w:next w:val="CommentText"/>
    <w:link w:val="CommentSubjectChar"/>
    <w:uiPriority w:val="99"/>
    <w:semiHidden/>
    <w:unhideWhenUsed/>
    <w:rsid w:val="0088018F"/>
    <w:rPr>
      <w:b/>
      <w:bCs/>
      <w:sz w:val="20"/>
      <w:szCs w:val="20"/>
    </w:rPr>
  </w:style>
  <w:style w:type="character" w:customStyle="1" w:styleId="CommentSubjectChar">
    <w:name w:val="Comment Subject Char"/>
    <w:basedOn w:val="CommentTextChar"/>
    <w:link w:val="CommentSubject"/>
    <w:uiPriority w:val="99"/>
    <w:semiHidden/>
    <w:rsid w:val="0088018F"/>
    <w:rPr>
      <w:b/>
      <w:bCs/>
      <w:sz w:val="24"/>
      <w:szCs w:val="24"/>
    </w:rPr>
  </w:style>
  <w:style w:type="character" w:styleId="Hyperlink">
    <w:name w:val="Hyperlink"/>
    <w:basedOn w:val="DefaultParagraphFont"/>
    <w:uiPriority w:val="99"/>
    <w:unhideWhenUsed/>
    <w:rsid w:val="00D35006"/>
    <w:rPr>
      <w:color w:val="0000FF" w:themeColor="hyperlink"/>
      <w:u w:val="single"/>
    </w:rPr>
  </w:style>
  <w:style w:type="character" w:styleId="FollowedHyperlink">
    <w:name w:val="FollowedHyperlink"/>
    <w:basedOn w:val="DefaultParagraphFont"/>
    <w:uiPriority w:val="99"/>
    <w:semiHidden/>
    <w:unhideWhenUsed/>
    <w:rsid w:val="00392416"/>
    <w:rPr>
      <w:color w:val="800080" w:themeColor="followedHyperlink"/>
      <w:u w:val="single"/>
    </w:rPr>
  </w:style>
  <w:style w:type="paragraph" w:styleId="TOC6">
    <w:name w:val="toc 6"/>
    <w:basedOn w:val="Normal"/>
    <w:next w:val="Normal"/>
    <w:autoRedefine/>
    <w:uiPriority w:val="39"/>
    <w:unhideWhenUsed/>
    <w:rsid w:val="002B66F3"/>
    <w:pPr>
      <w:ind w:left="1000"/>
    </w:pPr>
    <w:rPr>
      <w:rFonts w:asciiTheme="minorHAnsi" w:hAnsiTheme="minorHAnsi"/>
    </w:rPr>
  </w:style>
  <w:style w:type="paragraph" w:styleId="TOC7">
    <w:name w:val="toc 7"/>
    <w:basedOn w:val="Normal"/>
    <w:next w:val="Normal"/>
    <w:autoRedefine/>
    <w:uiPriority w:val="39"/>
    <w:unhideWhenUsed/>
    <w:rsid w:val="002B66F3"/>
    <w:pPr>
      <w:ind w:left="1200"/>
    </w:pPr>
    <w:rPr>
      <w:rFonts w:asciiTheme="minorHAnsi" w:hAnsiTheme="minorHAnsi"/>
    </w:rPr>
  </w:style>
  <w:style w:type="paragraph" w:styleId="TOC8">
    <w:name w:val="toc 8"/>
    <w:basedOn w:val="Normal"/>
    <w:next w:val="Normal"/>
    <w:autoRedefine/>
    <w:uiPriority w:val="39"/>
    <w:unhideWhenUsed/>
    <w:rsid w:val="002B66F3"/>
    <w:pPr>
      <w:ind w:left="1400"/>
    </w:pPr>
    <w:rPr>
      <w:rFonts w:asciiTheme="minorHAnsi" w:hAnsiTheme="minorHAnsi"/>
    </w:rPr>
  </w:style>
  <w:style w:type="paragraph" w:styleId="TOC9">
    <w:name w:val="toc 9"/>
    <w:basedOn w:val="Normal"/>
    <w:next w:val="Normal"/>
    <w:autoRedefine/>
    <w:uiPriority w:val="39"/>
    <w:unhideWhenUsed/>
    <w:rsid w:val="002B66F3"/>
    <w:pPr>
      <w:ind w:left="1600"/>
    </w:pPr>
    <w:rPr>
      <w:rFonts w:asciiTheme="minorHAnsi" w:hAnsiTheme="minorHAnsi"/>
    </w:rPr>
  </w:style>
  <w:style w:type="character" w:customStyle="1" w:styleId="Heading1Char">
    <w:name w:val="Heading 1 Char"/>
    <w:basedOn w:val="DefaultParagraphFont"/>
    <w:link w:val="Heading1"/>
    <w:uiPriority w:val="9"/>
    <w:rsid w:val="002B66F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B66F3"/>
    <w:pPr>
      <w:spacing w:before="480" w:line="276" w:lineRule="auto"/>
      <w:outlineLvl w:val="9"/>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165204">
      <w:bodyDiv w:val="1"/>
      <w:marLeft w:val="0"/>
      <w:marRight w:val="0"/>
      <w:marTop w:val="0"/>
      <w:marBottom w:val="0"/>
      <w:divBdr>
        <w:top w:val="none" w:sz="0" w:space="0" w:color="auto"/>
        <w:left w:val="none" w:sz="0" w:space="0" w:color="auto"/>
        <w:bottom w:val="none" w:sz="0" w:space="0" w:color="auto"/>
        <w:right w:val="none" w:sz="0" w:space="0" w:color="auto"/>
      </w:divBdr>
    </w:div>
    <w:div w:id="719129855">
      <w:bodyDiv w:val="1"/>
      <w:marLeft w:val="0"/>
      <w:marRight w:val="0"/>
      <w:marTop w:val="0"/>
      <w:marBottom w:val="0"/>
      <w:divBdr>
        <w:top w:val="none" w:sz="0" w:space="0" w:color="auto"/>
        <w:left w:val="none" w:sz="0" w:space="0" w:color="auto"/>
        <w:bottom w:val="none" w:sz="0" w:space="0" w:color="auto"/>
        <w:right w:val="none" w:sz="0" w:space="0" w:color="auto"/>
      </w:divBdr>
    </w:div>
    <w:div w:id="809126938">
      <w:bodyDiv w:val="1"/>
      <w:marLeft w:val="0"/>
      <w:marRight w:val="0"/>
      <w:marTop w:val="0"/>
      <w:marBottom w:val="0"/>
      <w:divBdr>
        <w:top w:val="none" w:sz="0" w:space="0" w:color="auto"/>
        <w:left w:val="none" w:sz="0" w:space="0" w:color="auto"/>
        <w:bottom w:val="none" w:sz="0" w:space="0" w:color="auto"/>
        <w:right w:val="none" w:sz="0" w:space="0" w:color="auto"/>
      </w:divBdr>
    </w:div>
    <w:div w:id="882836694">
      <w:bodyDiv w:val="1"/>
      <w:marLeft w:val="0"/>
      <w:marRight w:val="0"/>
      <w:marTop w:val="0"/>
      <w:marBottom w:val="0"/>
      <w:divBdr>
        <w:top w:val="none" w:sz="0" w:space="0" w:color="auto"/>
        <w:left w:val="none" w:sz="0" w:space="0" w:color="auto"/>
        <w:bottom w:val="none" w:sz="0" w:space="0" w:color="auto"/>
        <w:right w:val="none" w:sz="0" w:space="0" w:color="auto"/>
      </w:divBdr>
    </w:div>
    <w:div w:id="1202018731">
      <w:bodyDiv w:val="1"/>
      <w:marLeft w:val="0"/>
      <w:marRight w:val="0"/>
      <w:marTop w:val="0"/>
      <w:marBottom w:val="0"/>
      <w:divBdr>
        <w:top w:val="none" w:sz="0" w:space="0" w:color="auto"/>
        <w:left w:val="none" w:sz="0" w:space="0" w:color="auto"/>
        <w:bottom w:val="none" w:sz="0" w:space="0" w:color="auto"/>
        <w:right w:val="none" w:sz="0" w:space="0" w:color="auto"/>
      </w:divBdr>
    </w:div>
    <w:div w:id="1441141037">
      <w:bodyDiv w:val="1"/>
      <w:marLeft w:val="0"/>
      <w:marRight w:val="0"/>
      <w:marTop w:val="0"/>
      <w:marBottom w:val="0"/>
      <w:divBdr>
        <w:top w:val="none" w:sz="0" w:space="0" w:color="auto"/>
        <w:left w:val="none" w:sz="0" w:space="0" w:color="auto"/>
        <w:bottom w:val="none" w:sz="0" w:space="0" w:color="auto"/>
        <w:right w:val="none" w:sz="0" w:space="0" w:color="auto"/>
      </w:divBdr>
    </w:div>
    <w:div w:id="1775395086">
      <w:bodyDiv w:val="1"/>
      <w:marLeft w:val="0"/>
      <w:marRight w:val="0"/>
      <w:marTop w:val="0"/>
      <w:marBottom w:val="0"/>
      <w:divBdr>
        <w:top w:val="none" w:sz="0" w:space="0" w:color="auto"/>
        <w:left w:val="none" w:sz="0" w:space="0" w:color="auto"/>
        <w:bottom w:val="none" w:sz="0" w:space="0" w:color="auto"/>
        <w:right w:val="none" w:sz="0" w:space="0" w:color="auto"/>
      </w:divBdr>
    </w:div>
    <w:div w:id="211801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_SetSC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E91964-A1DE-4D42-9F87-F9ABD1C3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_SetSCA12.dotm</Template>
  <TotalTime>116</TotalTime>
  <Pages>43</Pages>
  <Words>9774</Words>
  <Characters>55716</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Joe Christensen, Inc.</Company>
  <LinksUpToDate>false</LinksUpToDate>
  <CharactersWithSpaces>65360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lawrevboard</dc:creator>
  <cp:keywords/>
  <dc:description/>
  <cp:lastModifiedBy>Milene Vega</cp:lastModifiedBy>
  <cp:revision>26</cp:revision>
  <cp:lastPrinted>2018-02-16T02:54:00Z</cp:lastPrinted>
  <dcterms:created xsi:type="dcterms:W3CDTF">2018-02-10T12:02:00Z</dcterms:created>
  <dcterms:modified xsi:type="dcterms:W3CDTF">2018-02-21T00:20:00Z</dcterms:modified>
</cp:coreProperties>
</file>