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05F956" w14:textId="01EAD8B7" w:rsidR="00CD65AE" w:rsidRPr="00643C95" w:rsidRDefault="00CD65AE" w:rsidP="004C4DC8">
      <w:pPr>
        <w:pStyle w:val="SectionHead"/>
        <w:rPr>
          <w:sz w:val="40"/>
        </w:rPr>
      </w:pPr>
      <w:r w:rsidRPr="00643C95">
        <w:rPr>
          <w:sz w:val="44"/>
        </w:rPr>
        <w:t>Profound Sophistication or Legal Sophistry?</w:t>
      </w:r>
    </w:p>
    <w:p w14:paraId="063B26FF" w14:textId="4A351FF5" w:rsidR="00CD65AE" w:rsidRPr="00643C95" w:rsidRDefault="00CD65AE" w:rsidP="00CD65AE">
      <w:pPr>
        <w:pStyle w:val="AuthorName1-Articles"/>
        <w:rPr>
          <w:sz w:val="28"/>
        </w:rPr>
      </w:pPr>
      <w:proofErr w:type="spellStart"/>
      <w:r w:rsidRPr="00643C95">
        <w:rPr>
          <w:sz w:val="28"/>
        </w:rPr>
        <w:t>Ediberto</w:t>
      </w:r>
      <w:proofErr w:type="spellEnd"/>
      <w:r w:rsidRPr="00643C95">
        <w:rPr>
          <w:sz w:val="28"/>
        </w:rPr>
        <w:t xml:space="preserve"> </w:t>
      </w:r>
      <w:proofErr w:type="gramStart"/>
      <w:r w:rsidRPr="00643C95">
        <w:rPr>
          <w:sz w:val="28"/>
        </w:rPr>
        <w:t>Roman</w:t>
      </w:r>
      <w:r w:rsidR="000674C0" w:rsidRPr="00643C95">
        <w:rPr>
          <w:sz w:val="28"/>
        </w:rPr>
        <w:t>,</w:t>
      </w:r>
      <w:r w:rsidR="00E01BEB" w:rsidRPr="00643C95">
        <w:rPr>
          <w:rStyle w:val="NoterefInText"/>
          <w:sz w:val="18"/>
        </w:rPr>
        <w:footnoteReference w:customMarkFollows="1" w:id="1"/>
        <w:t>*</w:t>
      </w:r>
      <w:proofErr w:type="gramEnd"/>
      <w:r w:rsidR="00075ACA" w:rsidRPr="00643C95">
        <w:rPr>
          <w:sz w:val="28"/>
        </w:rPr>
        <w:t xml:space="preserve"> </w:t>
      </w:r>
      <w:proofErr w:type="spellStart"/>
      <w:r w:rsidRPr="00643C95">
        <w:rPr>
          <w:sz w:val="28"/>
        </w:rPr>
        <w:t>Katryna</w:t>
      </w:r>
      <w:proofErr w:type="spellEnd"/>
      <w:r w:rsidRPr="00643C95">
        <w:rPr>
          <w:sz w:val="28"/>
        </w:rPr>
        <w:t xml:space="preserve"> Santa Cruz</w:t>
      </w:r>
      <w:r w:rsidR="000674C0" w:rsidRPr="00643C95">
        <w:rPr>
          <w:sz w:val="28"/>
        </w:rPr>
        <w:t>,</w:t>
      </w:r>
      <w:r w:rsidR="006742FF" w:rsidRPr="00643C95">
        <w:rPr>
          <w:rStyle w:val="NoterefInText"/>
          <w:sz w:val="18"/>
        </w:rPr>
        <w:footnoteReference w:customMarkFollows="1" w:id="2"/>
        <w:t>†</w:t>
      </w:r>
      <w:r w:rsidRPr="00643C95">
        <w:rPr>
          <w:sz w:val="28"/>
        </w:rPr>
        <w:t xml:space="preserve"> Melissa Gonzalez</w:t>
      </w:r>
      <w:r w:rsidR="000674C0" w:rsidRPr="00643C95">
        <w:rPr>
          <w:sz w:val="28"/>
        </w:rPr>
        <w:t>,</w:t>
      </w:r>
      <w:r w:rsidR="006742FF" w:rsidRPr="00643C95">
        <w:rPr>
          <w:rStyle w:val="NoterefInText"/>
          <w:sz w:val="18"/>
        </w:rPr>
        <w:footnoteReference w:customMarkFollows="1" w:id="3"/>
        <w:t>‡</w:t>
      </w:r>
      <w:r w:rsidRPr="00643C95">
        <w:rPr>
          <w:sz w:val="28"/>
        </w:rPr>
        <w:t xml:space="preserve"> and </w:t>
      </w:r>
      <w:proofErr w:type="spellStart"/>
      <w:r w:rsidRPr="00643C95">
        <w:rPr>
          <w:sz w:val="28"/>
        </w:rPr>
        <w:t>Dianet</w:t>
      </w:r>
      <w:proofErr w:type="spellEnd"/>
      <w:r w:rsidRPr="00643C95">
        <w:rPr>
          <w:sz w:val="28"/>
        </w:rPr>
        <w:t xml:space="preserve"> Torres</w:t>
      </w:r>
      <w:r w:rsidR="006742FF" w:rsidRPr="00643C95">
        <w:rPr>
          <w:rStyle w:val="FootnoteReference"/>
          <w:sz w:val="28"/>
        </w:rPr>
        <w:footnoteReference w:customMarkFollows="1" w:id="4"/>
        <w:t>§</w:t>
      </w:r>
    </w:p>
    <w:p w14:paraId="2653B471" w14:textId="3733D65D" w:rsidR="00CD65AE" w:rsidRPr="00643C95" w:rsidRDefault="00CD65AE" w:rsidP="00CD65AE">
      <w:pPr>
        <w:pStyle w:val="Document"/>
        <w:widowControl w:val="0"/>
        <w:ind w:firstLine="446"/>
        <w:rPr>
          <w:sz w:val="28"/>
        </w:rPr>
      </w:pPr>
      <w:proofErr w:type="gramStart"/>
      <w:r w:rsidRPr="00643C95">
        <w:rPr>
          <w:sz w:val="28"/>
          <w:szCs w:val="24"/>
        </w:rPr>
        <w:t>In the midst of</w:t>
      </w:r>
      <w:proofErr w:type="gramEnd"/>
      <w:r w:rsidRPr="00643C95">
        <w:rPr>
          <w:sz w:val="28"/>
          <w:szCs w:val="24"/>
        </w:rPr>
        <w:t xml:space="preserve"> growing debate</w:t>
      </w:r>
      <w:r w:rsidR="006504F0" w:rsidRPr="00643C95">
        <w:rPr>
          <w:sz w:val="28"/>
          <w:szCs w:val="24"/>
        </w:rPr>
        <w:t xml:space="preserve"> </w:t>
      </w:r>
      <w:r w:rsidRPr="00643C95">
        <w:rPr>
          <w:sz w:val="28"/>
          <w:szCs w:val="24"/>
        </w:rPr>
        <w:t>and</w:t>
      </w:r>
      <w:r w:rsidR="006504F0" w:rsidRPr="00643C95">
        <w:rPr>
          <w:sz w:val="28"/>
          <w:szCs w:val="24"/>
        </w:rPr>
        <w:t>—</w:t>
      </w:r>
      <w:r w:rsidRPr="00643C95">
        <w:rPr>
          <w:sz w:val="28"/>
          <w:szCs w:val="24"/>
        </w:rPr>
        <w:t>according to widely publicized news accounts</w:t>
      </w:r>
      <w:r w:rsidR="006504F0" w:rsidRPr="00643C95">
        <w:rPr>
          <w:sz w:val="28"/>
          <w:szCs w:val="24"/>
        </w:rPr>
        <w:t>—</w:t>
      </w:r>
      <w:r w:rsidRPr="00643C95">
        <w:rPr>
          <w:sz w:val="28"/>
          <w:szCs w:val="24"/>
        </w:rPr>
        <w:t xml:space="preserve">growing evidence against President Donald Trump’s impeachment, esteemed former Harvard Law Professor and public intellectual, Alan Dershowitz, recently published </w:t>
      </w:r>
      <w:r w:rsidRPr="00643C95">
        <w:rPr>
          <w:i/>
          <w:sz w:val="28"/>
          <w:szCs w:val="24"/>
        </w:rPr>
        <w:t>The Case Against Impeaching Trump</w:t>
      </w:r>
      <w:r w:rsidRPr="00643C95">
        <w:rPr>
          <w:sz w:val="28"/>
          <w:szCs w:val="24"/>
        </w:rPr>
        <w:t>.</w:t>
      </w:r>
      <w:bookmarkStart w:id="0" w:name="_Ref526953712"/>
      <w:r w:rsidRPr="00643C95">
        <w:rPr>
          <w:rStyle w:val="NoterefInText"/>
          <w:sz w:val="18"/>
        </w:rPr>
        <w:footnoteReference w:id="5"/>
      </w:r>
      <w:bookmarkEnd w:id="0"/>
      <w:r w:rsidRPr="00643C95">
        <w:rPr>
          <w:sz w:val="28"/>
          <w:szCs w:val="24"/>
        </w:rPr>
        <w:t xml:space="preserve"> In this brief, but passionate</w:t>
      </w:r>
      <w:r w:rsidR="00BD421A" w:rsidRPr="00643C95">
        <w:rPr>
          <w:sz w:val="28"/>
          <w:szCs w:val="24"/>
        </w:rPr>
        <w:t xml:space="preserve">, </w:t>
      </w:r>
      <w:r w:rsidRPr="00643C95">
        <w:rPr>
          <w:sz w:val="28"/>
          <w:szCs w:val="24"/>
        </w:rPr>
        <w:t xml:space="preserve">defense of the President, Professor Dershowitz provides arguably the strongest legal argument against impeaching the </w:t>
      </w:r>
      <w:r w:rsidR="00321752" w:rsidRPr="00643C95">
        <w:rPr>
          <w:sz w:val="28"/>
          <w:szCs w:val="24"/>
        </w:rPr>
        <w:t xml:space="preserve">Forty-Fifth </w:t>
      </w:r>
      <w:r w:rsidR="00BD421A" w:rsidRPr="00643C95">
        <w:rPr>
          <w:sz w:val="28"/>
          <w:szCs w:val="24"/>
        </w:rPr>
        <w:t>P</w:t>
      </w:r>
      <w:r w:rsidRPr="00643C95">
        <w:rPr>
          <w:sz w:val="28"/>
          <w:szCs w:val="24"/>
        </w:rPr>
        <w:t>resident of the United States. Professor Dershowitz’s argument, while beautifully written, is largely a selectively applied textualist attempt to thwart the mounting evidence against President Trump and his administration.</w:t>
      </w:r>
    </w:p>
    <w:p w14:paraId="743E288B" w14:textId="20BFF940" w:rsidR="00CD65AE" w:rsidRPr="00643C95" w:rsidRDefault="00CD65AE" w:rsidP="00CD65AE">
      <w:pPr>
        <w:pStyle w:val="Document"/>
        <w:widowControl w:val="0"/>
        <w:ind w:firstLine="446"/>
        <w:rPr>
          <w:iCs/>
          <w:sz w:val="28"/>
        </w:rPr>
      </w:pPr>
      <w:r w:rsidRPr="00643C95">
        <w:rPr>
          <w:sz w:val="28"/>
          <w:szCs w:val="24"/>
        </w:rPr>
        <w:t>Dershowitz argument boils down to the following: “</w:t>
      </w:r>
      <w:r w:rsidR="00717438" w:rsidRPr="00643C95">
        <w:rPr>
          <w:sz w:val="28"/>
          <w:szCs w:val="24"/>
        </w:rPr>
        <w:t>[I]</w:t>
      </w:r>
      <w:r w:rsidRPr="00643C95">
        <w:rPr>
          <w:sz w:val="28"/>
          <w:szCs w:val="24"/>
        </w:rPr>
        <w:t xml:space="preserve">f a president </w:t>
      </w:r>
      <w:bookmarkStart w:id="1" w:name="_GoBack"/>
      <w:bookmarkEnd w:id="1"/>
      <w:r w:rsidRPr="00643C95">
        <w:rPr>
          <w:sz w:val="28"/>
          <w:szCs w:val="24"/>
        </w:rPr>
        <w:t>has not committed any of these</w:t>
      </w:r>
      <w:r w:rsidR="00C00D1C" w:rsidRPr="00643C95">
        <w:rPr>
          <w:sz w:val="28"/>
          <w:szCs w:val="24"/>
        </w:rPr>
        <w:t xml:space="preserve"> specified</w:t>
      </w:r>
      <w:r w:rsidRPr="00643C95">
        <w:rPr>
          <w:sz w:val="28"/>
          <w:szCs w:val="24"/>
        </w:rPr>
        <w:t xml:space="preserve"> crimes [those specified in the Constitution], it would be unconstitutional to remove him, regardless of what else he may have done or may do.”</w:t>
      </w:r>
      <w:bookmarkStart w:id="2" w:name="_Ref526953716"/>
      <w:r w:rsidRPr="00643C95">
        <w:rPr>
          <w:rStyle w:val="NoterefInText"/>
          <w:sz w:val="18"/>
        </w:rPr>
        <w:footnoteReference w:id="6"/>
      </w:r>
      <w:bookmarkEnd w:id="2"/>
      <w:r w:rsidRPr="00643C95">
        <w:rPr>
          <w:sz w:val="28"/>
          <w:szCs w:val="24"/>
        </w:rPr>
        <w:t xml:space="preserve"> The Dershowitz defense focuses on the Constitution’s </w:t>
      </w:r>
      <w:r w:rsidR="00C00D1C" w:rsidRPr="00643C95">
        <w:rPr>
          <w:sz w:val="28"/>
          <w:szCs w:val="24"/>
        </w:rPr>
        <w:t>I</w:t>
      </w:r>
      <w:r w:rsidRPr="00643C95">
        <w:rPr>
          <w:sz w:val="28"/>
          <w:szCs w:val="24"/>
        </w:rPr>
        <w:t xml:space="preserve">mpeachment </w:t>
      </w:r>
      <w:r w:rsidR="00C00D1C" w:rsidRPr="00643C95">
        <w:rPr>
          <w:sz w:val="28"/>
          <w:szCs w:val="24"/>
        </w:rPr>
        <w:t>C</w:t>
      </w:r>
      <w:r w:rsidRPr="00643C95">
        <w:rPr>
          <w:sz w:val="28"/>
          <w:szCs w:val="24"/>
        </w:rPr>
        <w:t>lause</w:t>
      </w:r>
      <w:r w:rsidR="00C00D1C" w:rsidRPr="00643C95">
        <w:rPr>
          <w:sz w:val="28"/>
          <w:szCs w:val="24"/>
        </w:rPr>
        <w:t>—</w:t>
      </w:r>
      <w:r w:rsidRPr="00643C95">
        <w:rPr>
          <w:sz w:val="28"/>
          <w:szCs w:val="24"/>
        </w:rPr>
        <w:t>Article II, Section 4</w:t>
      </w:r>
      <w:r w:rsidR="00C00D1C" w:rsidRPr="00643C95">
        <w:rPr>
          <w:sz w:val="28"/>
          <w:szCs w:val="24"/>
        </w:rPr>
        <w:t>—</w:t>
      </w:r>
      <w:r w:rsidRPr="00643C95">
        <w:rPr>
          <w:sz w:val="28"/>
          <w:szCs w:val="24"/>
        </w:rPr>
        <w:t xml:space="preserve">which provides: </w:t>
      </w:r>
      <w:r w:rsidRPr="00643C95">
        <w:rPr>
          <w:iCs/>
          <w:sz w:val="28"/>
          <w:szCs w:val="24"/>
        </w:rPr>
        <w:t>“The President, Vice President and</w:t>
      </w:r>
      <w:r w:rsidR="00C00D1C" w:rsidRPr="00643C95">
        <w:rPr>
          <w:iCs/>
          <w:sz w:val="28"/>
          <w:szCs w:val="24"/>
        </w:rPr>
        <w:t xml:space="preserve"> all</w:t>
      </w:r>
      <w:r w:rsidRPr="00643C95">
        <w:rPr>
          <w:iCs/>
          <w:sz w:val="28"/>
          <w:szCs w:val="24"/>
        </w:rPr>
        <w:t xml:space="preserve"> civil officers of the United States</w:t>
      </w:r>
      <w:r w:rsidR="00C00D1C" w:rsidRPr="00643C95">
        <w:rPr>
          <w:iCs/>
          <w:sz w:val="28"/>
          <w:szCs w:val="24"/>
        </w:rPr>
        <w:t>,</w:t>
      </w:r>
      <w:r w:rsidRPr="00643C95">
        <w:rPr>
          <w:iCs/>
          <w:sz w:val="28"/>
          <w:szCs w:val="24"/>
        </w:rPr>
        <w:t xml:space="preserve"> shall be removed from Office on Impeachment for, and </w:t>
      </w:r>
      <w:r w:rsidR="00C00D1C" w:rsidRPr="00643C95">
        <w:rPr>
          <w:iCs/>
          <w:sz w:val="28"/>
          <w:szCs w:val="24"/>
        </w:rPr>
        <w:t>C</w:t>
      </w:r>
      <w:r w:rsidRPr="00643C95">
        <w:rPr>
          <w:iCs/>
          <w:sz w:val="28"/>
          <w:szCs w:val="24"/>
        </w:rPr>
        <w:t>onviction of, Treason, Bribery, or other high Crimes and Misdemeanors.”</w:t>
      </w:r>
      <w:r w:rsidRPr="00643C95">
        <w:rPr>
          <w:rStyle w:val="NoterefInText"/>
          <w:sz w:val="18"/>
        </w:rPr>
        <w:footnoteReference w:id="7"/>
      </w:r>
      <w:r w:rsidRPr="00643C95">
        <w:rPr>
          <w:iCs/>
          <w:sz w:val="28"/>
          <w:szCs w:val="24"/>
        </w:rPr>
        <w:t xml:space="preserve"> Dershowitz’s argument is based on the premise that because “the Constitution speaks in clear terms, [its] plain meaning must prevail over other considerations.”</w:t>
      </w:r>
      <w:r w:rsidR="00C00D1C" w:rsidRPr="00643C95">
        <w:rPr>
          <w:rStyle w:val="NoterefInText"/>
          <w:sz w:val="18"/>
        </w:rPr>
        <w:footnoteReference w:id="8"/>
      </w:r>
      <w:r w:rsidRPr="00643C95">
        <w:rPr>
          <w:iCs/>
          <w:sz w:val="28"/>
          <w:szCs w:val="24"/>
        </w:rPr>
        <w:t xml:space="preserve"> </w:t>
      </w:r>
      <w:r w:rsidRPr="00643C95">
        <w:rPr>
          <w:iCs/>
          <w:sz w:val="28"/>
          <w:szCs w:val="24"/>
        </w:rPr>
        <w:lastRenderedPageBreak/>
        <w:t>This argument is interesting because Dershowitz himself examines all of the subtle ambiguities that the Constitution’s lack of explanation creates</w:t>
      </w:r>
      <w:r w:rsidR="00A82675" w:rsidRPr="00643C95">
        <w:rPr>
          <w:iCs/>
          <w:sz w:val="28"/>
          <w:szCs w:val="24"/>
        </w:rPr>
        <w:t xml:space="preserve">, </w:t>
      </w:r>
      <w:r w:rsidR="00384BC5" w:rsidRPr="00643C95">
        <w:rPr>
          <w:iCs/>
          <w:sz w:val="28"/>
          <w:szCs w:val="24"/>
        </w:rPr>
        <w:t>including</w:t>
      </w:r>
      <w:r w:rsidR="00A82675" w:rsidRPr="00643C95">
        <w:rPr>
          <w:iCs/>
          <w:sz w:val="28"/>
          <w:szCs w:val="24"/>
        </w:rPr>
        <w:t>:</w:t>
      </w:r>
      <w:r w:rsidRPr="00643C95">
        <w:rPr>
          <w:iCs/>
          <w:sz w:val="28"/>
          <w:szCs w:val="24"/>
        </w:rPr>
        <w:t xml:space="preserve"> Can evidence be introduced? Who rules on admissibility? Common law? Exclusionary rule? Further, even Dershowitz recognizes the Constitution is missing a good deal of information on the issue of impeachment (in terms of Congressional trials for impeachment), </w:t>
      </w:r>
      <w:proofErr w:type="gramStart"/>
      <w:r w:rsidRPr="00643C95">
        <w:rPr>
          <w:iCs/>
          <w:sz w:val="28"/>
          <w:szCs w:val="24"/>
        </w:rPr>
        <w:t>but yet</w:t>
      </w:r>
      <w:proofErr w:type="gramEnd"/>
      <w:r w:rsidR="00E601D1" w:rsidRPr="00643C95">
        <w:rPr>
          <w:iCs/>
          <w:sz w:val="28"/>
          <w:szCs w:val="24"/>
        </w:rPr>
        <w:t>,</w:t>
      </w:r>
      <w:r w:rsidRPr="00643C95">
        <w:rPr>
          <w:iCs/>
          <w:sz w:val="28"/>
          <w:szCs w:val="24"/>
        </w:rPr>
        <w:t xml:space="preserve"> according to Dershowitz, </w:t>
      </w:r>
      <w:r w:rsidR="00FC08C3" w:rsidRPr="00643C95">
        <w:rPr>
          <w:iCs/>
          <w:sz w:val="28"/>
          <w:szCs w:val="24"/>
        </w:rPr>
        <w:t xml:space="preserve">the Clause’s plain meaning </w:t>
      </w:r>
      <w:r w:rsidRPr="00643C95">
        <w:rPr>
          <w:iCs/>
          <w:sz w:val="28"/>
          <w:szCs w:val="24"/>
        </w:rPr>
        <w:t xml:space="preserve">should only </w:t>
      </w:r>
      <w:r w:rsidR="00FC08C3" w:rsidRPr="00643C95">
        <w:rPr>
          <w:iCs/>
          <w:sz w:val="28"/>
          <w:szCs w:val="24"/>
        </w:rPr>
        <w:t xml:space="preserve">allow for </w:t>
      </w:r>
      <w:r w:rsidRPr="00643C95">
        <w:rPr>
          <w:iCs/>
          <w:sz w:val="28"/>
          <w:szCs w:val="24"/>
        </w:rPr>
        <w:t>impeach</w:t>
      </w:r>
      <w:r w:rsidR="00FC08C3" w:rsidRPr="00643C95">
        <w:rPr>
          <w:iCs/>
          <w:sz w:val="28"/>
          <w:szCs w:val="24"/>
        </w:rPr>
        <w:t>ment</w:t>
      </w:r>
      <w:r w:rsidRPr="00643C95">
        <w:rPr>
          <w:iCs/>
          <w:sz w:val="28"/>
          <w:szCs w:val="24"/>
        </w:rPr>
        <w:t xml:space="preserve"> for treason and bribery</w:t>
      </w:r>
      <w:r w:rsidR="00BD421A" w:rsidRPr="00643C95">
        <w:rPr>
          <w:iCs/>
          <w:sz w:val="28"/>
          <w:szCs w:val="24"/>
        </w:rPr>
        <w:t>.</w:t>
      </w:r>
      <w:r w:rsidRPr="00643C95">
        <w:rPr>
          <w:rStyle w:val="NoterefInText"/>
          <w:sz w:val="18"/>
        </w:rPr>
        <w:footnoteReference w:id="9"/>
      </w:r>
      <w:r w:rsidRPr="00643C95">
        <w:rPr>
          <w:iCs/>
          <w:sz w:val="28"/>
          <w:szCs w:val="24"/>
        </w:rPr>
        <w:t xml:space="preserve"> Seems like his reading of the Constitution is a little too convenient.</w:t>
      </w:r>
    </w:p>
    <w:p w14:paraId="0FA64001" w14:textId="63BFF9DC" w:rsidR="00CD65AE" w:rsidRPr="00643C95" w:rsidRDefault="00CD65AE" w:rsidP="00CD65AE">
      <w:pPr>
        <w:pStyle w:val="Document"/>
        <w:widowControl w:val="0"/>
        <w:ind w:firstLine="446"/>
        <w:rPr>
          <w:sz w:val="28"/>
        </w:rPr>
      </w:pPr>
      <w:r w:rsidRPr="00643C95">
        <w:rPr>
          <w:iCs/>
          <w:sz w:val="28"/>
          <w:szCs w:val="24"/>
        </w:rPr>
        <w:t xml:space="preserve">According to Dershowitz’s argument, the Constitution provides the only basis for impeaching and removing the President of the United States, and in Trump’s case, there is no grounds for impeachment. The first part of his position—the Constitution provides the exclusive basis for impeachment—is </w:t>
      </w:r>
      <w:r w:rsidR="00E24DA2" w:rsidRPr="00643C95">
        <w:rPr>
          <w:iCs/>
          <w:sz w:val="28"/>
          <w:szCs w:val="24"/>
        </w:rPr>
        <w:t>uncontroversial</w:t>
      </w:r>
      <w:r w:rsidRPr="00643C95">
        <w:rPr>
          <w:iCs/>
          <w:sz w:val="28"/>
          <w:szCs w:val="24"/>
        </w:rPr>
        <w:t xml:space="preserve">. What is far more problematic is Dershowitz’s use of textualism. Dershowitz is both a self-professed champion of civil liberties as well as a textualist reader of the Constitution. Yet in this defense of Trump, the good professor fails to recognize one of the Constitution’s three stated grounds for impeachment, which is far from engaging in a textualist approach. In doing so, </w:t>
      </w:r>
      <w:r w:rsidR="00602505" w:rsidRPr="00643C95">
        <w:rPr>
          <w:iCs/>
          <w:sz w:val="28"/>
          <w:szCs w:val="24"/>
        </w:rPr>
        <w:t>this</w:t>
      </w:r>
      <w:r w:rsidRPr="00643C95">
        <w:rPr>
          <w:iCs/>
          <w:sz w:val="28"/>
          <w:szCs w:val="24"/>
        </w:rPr>
        <w:t xml:space="preserve"> champion of civil liberties fails to </w:t>
      </w:r>
      <w:r w:rsidR="00602505" w:rsidRPr="00643C95">
        <w:rPr>
          <w:iCs/>
          <w:sz w:val="28"/>
          <w:szCs w:val="24"/>
        </w:rPr>
        <w:t xml:space="preserve">acknowledge </w:t>
      </w:r>
      <w:r w:rsidRPr="00643C95">
        <w:rPr>
          <w:iCs/>
          <w:sz w:val="28"/>
          <w:szCs w:val="24"/>
        </w:rPr>
        <w:t>a constitutional provision aimed at protecting the</w:t>
      </w:r>
      <w:r w:rsidR="00602505" w:rsidRPr="00643C95">
        <w:rPr>
          <w:iCs/>
          <w:sz w:val="28"/>
          <w:szCs w:val="24"/>
        </w:rPr>
        <w:t xml:space="preserve"> citizenry’s</w:t>
      </w:r>
      <w:r w:rsidRPr="00643C95">
        <w:rPr>
          <w:iCs/>
          <w:sz w:val="28"/>
          <w:szCs w:val="24"/>
        </w:rPr>
        <w:t xml:space="preserve"> rights from tyrannical executive power. Dershowitz’s </w:t>
      </w:r>
      <w:r w:rsidR="00DE0BA5" w:rsidRPr="00643C95">
        <w:rPr>
          <w:iCs/>
          <w:sz w:val="28"/>
          <w:szCs w:val="24"/>
        </w:rPr>
        <w:t>legitimate basis for impeachment</w:t>
      </w:r>
      <w:r w:rsidRPr="00643C95">
        <w:rPr>
          <w:iCs/>
          <w:sz w:val="28"/>
          <w:szCs w:val="24"/>
        </w:rPr>
        <w:t xml:space="preserve"> focus</w:t>
      </w:r>
      <w:r w:rsidR="00602505" w:rsidRPr="00643C95">
        <w:rPr>
          <w:iCs/>
          <w:sz w:val="28"/>
          <w:szCs w:val="24"/>
        </w:rPr>
        <w:t>es</w:t>
      </w:r>
      <w:r w:rsidRPr="00643C95">
        <w:rPr>
          <w:iCs/>
          <w:sz w:val="28"/>
          <w:szCs w:val="24"/>
        </w:rPr>
        <w:t xml:space="preserve"> on only two of the three constitutional bases for impeachment: 1) </w:t>
      </w:r>
      <w:r w:rsidR="00E93FB5" w:rsidRPr="00643C95">
        <w:rPr>
          <w:iCs/>
          <w:sz w:val="28"/>
          <w:szCs w:val="24"/>
        </w:rPr>
        <w:t>t</w:t>
      </w:r>
      <w:r w:rsidRPr="00643C95">
        <w:rPr>
          <w:iCs/>
          <w:sz w:val="28"/>
          <w:szCs w:val="24"/>
        </w:rPr>
        <w:t xml:space="preserve">reason and 2) bribery. Dershowitz’s lack of focus on </w:t>
      </w:r>
      <w:r w:rsidR="00DE0BA5" w:rsidRPr="00643C95">
        <w:rPr>
          <w:iCs/>
          <w:sz w:val="28"/>
          <w:szCs w:val="24"/>
        </w:rPr>
        <w:t>a</w:t>
      </w:r>
      <w:r w:rsidR="001E5658" w:rsidRPr="00643C95">
        <w:rPr>
          <w:iCs/>
          <w:sz w:val="28"/>
          <w:szCs w:val="24"/>
        </w:rPr>
        <w:t xml:space="preserve"> </w:t>
      </w:r>
      <w:r w:rsidR="00DE0BA5" w:rsidRPr="00643C95">
        <w:rPr>
          <w:iCs/>
          <w:sz w:val="28"/>
          <w:szCs w:val="24"/>
        </w:rPr>
        <w:t>recognized reading</w:t>
      </w:r>
      <w:r w:rsidR="001E5658" w:rsidRPr="00643C95">
        <w:rPr>
          <w:iCs/>
          <w:sz w:val="28"/>
          <w:szCs w:val="24"/>
        </w:rPr>
        <w:t xml:space="preserve"> </w:t>
      </w:r>
      <w:r w:rsidR="00DE0BA5" w:rsidRPr="00643C95">
        <w:rPr>
          <w:iCs/>
          <w:sz w:val="28"/>
          <w:szCs w:val="24"/>
        </w:rPr>
        <w:t>of</w:t>
      </w:r>
      <w:r w:rsidR="001E5658" w:rsidRPr="00643C95">
        <w:rPr>
          <w:iCs/>
          <w:sz w:val="28"/>
          <w:szCs w:val="24"/>
        </w:rPr>
        <w:t xml:space="preserve"> </w:t>
      </w:r>
      <w:r w:rsidRPr="00643C95">
        <w:rPr>
          <w:iCs/>
          <w:sz w:val="28"/>
          <w:szCs w:val="24"/>
        </w:rPr>
        <w:t>the third stated basis for impeachment is nothing short of perplexing especially given his textualist leaning and prior textualist positions</w:t>
      </w:r>
      <w:r w:rsidR="00910874" w:rsidRPr="00643C95">
        <w:rPr>
          <w:iCs/>
          <w:sz w:val="28"/>
          <w:szCs w:val="24"/>
        </w:rPr>
        <w:t xml:space="preserve">. For example, </w:t>
      </w:r>
      <w:r w:rsidR="00477C5B" w:rsidRPr="00643C95">
        <w:rPr>
          <w:iCs/>
          <w:sz w:val="28"/>
          <w:szCs w:val="24"/>
        </w:rPr>
        <w:t>he does not believe the Constitution includes privacy rights</w:t>
      </w:r>
      <w:r w:rsidRPr="00643C95">
        <w:rPr>
          <w:iCs/>
          <w:sz w:val="28"/>
          <w:szCs w:val="24"/>
        </w:rPr>
        <w:t xml:space="preserve"> </w:t>
      </w:r>
      <w:r w:rsidR="00477C5B" w:rsidRPr="00643C95">
        <w:rPr>
          <w:iCs/>
          <w:sz w:val="28"/>
          <w:szCs w:val="24"/>
        </w:rPr>
        <w:t xml:space="preserve">that protect </w:t>
      </w:r>
      <w:r w:rsidRPr="00643C95">
        <w:rPr>
          <w:iCs/>
          <w:sz w:val="28"/>
          <w:szCs w:val="24"/>
        </w:rPr>
        <w:t>a right to abortion because the document fails to specifically provide for such a right.</w:t>
      </w:r>
      <w:r w:rsidRPr="00643C95">
        <w:rPr>
          <w:rStyle w:val="NoterefInText"/>
          <w:sz w:val="18"/>
        </w:rPr>
        <w:footnoteReference w:id="10"/>
      </w:r>
    </w:p>
    <w:p w14:paraId="77F2223A" w14:textId="0497A67B" w:rsidR="00CD65AE" w:rsidRPr="00643C95" w:rsidRDefault="00CD65AE" w:rsidP="00CD65AE">
      <w:pPr>
        <w:pStyle w:val="Document"/>
        <w:widowControl w:val="0"/>
        <w:ind w:firstLine="446"/>
        <w:rPr>
          <w:sz w:val="28"/>
        </w:rPr>
      </w:pPr>
      <w:r w:rsidRPr="00643C95">
        <w:rPr>
          <w:iCs/>
          <w:sz w:val="28"/>
          <w:szCs w:val="24"/>
        </w:rPr>
        <w:t>Indeed, Dershowitz</w:t>
      </w:r>
      <w:r w:rsidR="000C6317" w:rsidRPr="00643C95">
        <w:rPr>
          <w:iCs/>
          <w:sz w:val="28"/>
          <w:szCs w:val="24"/>
        </w:rPr>
        <w:t>’s</w:t>
      </w:r>
      <w:r w:rsidRPr="00643C95">
        <w:rPr>
          <w:iCs/>
          <w:sz w:val="28"/>
          <w:szCs w:val="24"/>
        </w:rPr>
        <w:t xml:space="preserve"> dismiss</w:t>
      </w:r>
      <w:r w:rsidR="000C6317" w:rsidRPr="00643C95">
        <w:rPr>
          <w:iCs/>
          <w:sz w:val="28"/>
          <w:szCs w:val="24"/>
        </w:rPr>
        <w:t>al of</w:t>
      </w:r>
      <w:r w:rsidRPr="00643C95">
        <w:rPr>
          <w:iCs/>
          <w:sz w:val="28"/>
          <w:szCs w:val="24"/>
        </w:rPr>
        <w:t xml:space="preserve"> the Constitution’s third specifically stated ground for impeachment</w:t>
      </w:r>
      <w:proofErr w:type="gramStart"/>
      <w:r w:rsidR="00EF1232" w:rsidRPr="00643C95">
        <w:rPr>
          <w:iCs/>
          <w:sz w:val="28"/>
          <w:szCs w:val="24"/>
        </w:rPr>
        <w:t>—</w:t>
      </w:r>
      <w:r w:rsidRPr="00643C95">
        <w:rPr>
          <w:iCs/>
          <w:sz w:val="28"/>
          <w:szCs w:val="24"/>
        </w:rPr>
        <w:t>“</w:t>
      </w:r>
      <w:proofErr w:type="gramEnd"/>
      <w:r w:rsidRPr="00643C95">
        <w:rPr>
          <w:iCs/>
          <w:sz w:val="28"/>
          <w:szCs w:val="24"/>
        </w:rPr>
        <w:t>other high Crimes and Misdemeanors”</w:t>
      </w:r>
      <w:r w:rsidR="00EF1232" w:rsidRPr="00643C95">
        <w:rPr>
          <w:iCs/>
          <w:sz w:val="28"/>
          <w:szCs w:val="24"/>
        </w:rPr>
        <w:t>—</w:t>
      </w:r>
      <w:r w:rsidR="00E24DA2" w:rsidRPr="00643C95">
        <w:rPr>
          <w:iCs/>
          <w:sz w:val="28"/>
          <w:szCs w:val="24"/>
        </w:rPr>
        <w:t xml:space="preserve">is </w:t>
      </w:r>
      <w:r w:rsidRPr="00643C95">
        <w:rPr>
          <w:iCs/>
          <w:sz w:val="28"/>
          <w:szCs w:val="24"/>
        </w:rPr>
        <w:t>insufficiently explained in the book. This</w:t>
      </w:r>
      <w:r w:rsidR="000C6317" w:rsidRPr="00643C95">
        <w:rPr>
          <w:iCs/>
          <w:sz w:val="28"/>
          <w:szCs w:val="24"/>
        </w:rPr>
        <w:t xml:space="preserve"> blatant omission</w:t>
      </w:r>
      <w:r w:rsidRPr="00643C95">
        <w:rPr>
          <w:iCs/>
          <w:sz w:val="28"/>
          <w:szCs w:val="24"/>
        </w:rPr>
        <w:t xml:space="preserve"> leaves the reader wanting for </w:t>
      </w:r>
      <w:r w:rsidR="000C6317" w:rsidRPr="00643C95">
        <w:rPr>
          <w:iCs/>
          <w:sz w:val="28"/>
          <w:szCs w:val="24"/>
        </w:rPr>
        <w:t>a</w:t>
      </w:r>
      <w:r w:rsidRPr="00643C95">
        <w:rPr>
          <w:iCs/>
          <w:sz w:val="28"/>
          <w:szCs w:val="24"/>
        </w:rPr>
        <w:t xml:space="preserve"> less partisan analysis. But before focusing on this shortcoming, an analysis of Dershowitz’s </w:t>
      </w:r>
      <w:r w:rsidR="00AD73D5" w:rsidRPr="00643C95">
        <w:rPr>
          <w:iCs/>
          <w:sz w:val="28"/>
          <w:szCs w:val="24"/>
        </w:rPr>
        <w:t xml:space="preserve">argument </w:t>
      </w:r>
      <w:r w:rsidRPr="00643C95">
        <w:rPr>
          <w:iCs/>
          <w:sz w:val="28"/>
          <w:szCs w:val="24"/>
        </w:rPr>
        <w:t xml:space="preserve">on what he </w:t>
      </w:r>
      <w:r w:rsidR="00AD73D5" w:rsidRPr="00643C95">
        <w:rPr>
          <w:iCs/>
          <w:sz w:val="28"/>
          <w:szCs w:val="24"/>
        </w:rPr>
        <w:t>views as</w:t>
      </w:r>
      <w:r w:rsidRPr="00643C95">
        <w:rPr>
          <w:iCs/>
          <w:sz w:val="28"/>
          <w:szCs w:val="24"/>
        </w:rPr>
        <w:t xml:space="preserve"> the legitimate </w:t>
      </w:r>
      <w:r w:rsidR="00AD73D5" w:rsidRPr="00643C95">
        <w:rPr>
          <w:iCs/>
          <w:sz w:val="28"/>
          <w:szCs w:val="24"/>
        </w:rPr>
        <w:t>grounds</w:t>
      </w:r>
      <w:r w:rsidRPr="00643C95">
        <w:rPr>
          <w:iCs/>
          <w:sz w:val="28"/>
          <w:szCs w:val="24"/>
        </w:rPr>
        <w:t xml:space="preserve"> for impeachment</w:t>
      </w:r>
      <w:r w:rsidR="00AD73D5" w:rsidRPr="00643C95">
        <w:rPr>
          <w:iCs/>
          <w:sz w:val="28"/>
          <w:szCs w:val="24"/>
        </w:rPr>
        <w:t>—treason and bribery—</w:t>
      </w:r>
      <w:r w:rsidRPr="00643C95">
        <w:rPr>
          <w:iCs/>
          <w:sz w:val="28"/>
          <w:szCs w:val="24"/>
        </w:rPr>
        <w:t xml:space="preserve">is in order. </w:t>
      </w:r>
    </w:p>
    <w:p w14:paraId="1F18104C" w14:textId="63D04594" w:rsidR="00CD65AE" w:rsidRPr="00643C95" w:rsidRDefault="00CD65AE">
      <w:pPr>
        <w:pStyle w:val="Document"/>
        <w:widowControl w:val="0"/>
        <w:ind w:firstLine="446"/>
        <w:rPr>
          <w:sz w:val="28"/>
        </w:rPr>
      </w:pPr>
      <w:r w:rsidRPr="00643C95">
        <w:rPr>
          <w:sz w:val="28"/>
          <w:szCs w:val="24"/>
        </w:rPr>
        <w:t>In terms of his first legitimate basis for impeachment</w:t>
      </w:r>
      <w:r w:rsidR="00B17304" w:rsidRPr="00643C95">
        <w:rPr>
          <w:sz w:val="28"/>
          <w:szCs w:val="24"/>
        </w:rPr>
        <w:t>,</w:t>
      </w:r>
      <w:r w:rsidR="0024007F" w:rsidRPr="00643C95">
        <w:rPr>
          <w:sz w:val="28"/>
        </w:rPr>
        <w:t xml:space="preserve"> Dershowitz </w:t>
      </w:r>
      <w:r w:rsidR="00603A96" w:rsidRPr="00643C95">
        <w:rPr>
          <w:sz w:val="28"/>
        </w:rPr>
        <w:t>notes</w:t>
      </w:r>
      <w:r w:rsidR="0024007F" w:rsidRPr="00643C95">
        <w:rPr>
          <w:sz w:val="28"/>
        </w:rPr>
        <w:t xml:space="preserve"> </w:t>
      </w:r>
      <w:r w:rsidR="0024007F" w:rsidRPr="00643C95">
        <w:rPr>
          <w:sz w:val="28"/>
        </w:rPr>
        <w:lastRenderedPageBreak/>
        <w:t xml:space="preserve">that only treason is defined. </w:t>
      </w:r>
      <w:r w:rsidRPr="00643C95">
        <w:rPr>
          <w:sz w:val="28"/>
          <w:szCs w:val="24"/>
        </w:rPr>
        <w:t xml:space="preserve">The Constitution defines treason as “levying </w:t>
      </w:r>
      <w:r w:rsidR="001C30A5" w:rsidRPr="00643C95">
        <w:rPr>
          <w:sz w:val="28"/>
          <w:szCs w:val="24"/>
        </w:rPr>
        <w:t>W</w:t>
      </w:r>
      <w:r w:rsidRPr="00643C95">
        <w:rPr>
          <w:sz w:val="28"/>
          <w:szCs w:val="24"/>
        </w:rPr>
        <w:t>ar against [the United States]</w:t>
      </w:r>
      <w:r w:rsidR="001C30A5" w:rsidRPr="00643C95">
        <w:rPr>
          <w:sz w:val="28"/>
          <w:szCs w:val="24"/>
        </w:rPr>
        <w:t>,</w:t>
      </w:r>
      <w:r w:rsidRPr="00643C95">
        <w:rPr>
          <w:sz w:val="28"/>
          <w:szCs w:val="24"/>
        </w:rPr>
        <w:t xml:space="preserve"> or in adhering to their </w:t>
      </w:r>
      <w:r w:rsidR="001C30A5" w:rsidRPr="00643C95">
        <w:rPr>
          <w:sz w:val="28"/>
          <w:szCs w:val="24"/>
        </w:rPr>
        <w:t>E</w:t>
      </w:r>
      <w:r w:rsidRPr="00643C95">
        <w:rPr>
          <w:sz w:val="28"/>
          <w:szCs w:val="24"/>
        </w:rPr>
        <w:t xml:space="preserve">nemies, giving them </w:t>
      </w:r>
      <w:r w:rsidR="001C30A5" w:rsidRPr="00643C95">
        <w:rPr>
          <w:sz w:val="28"/>
          <w:szCs w:val="24"/>
        </w:rPr>
        <w:t>A</w:t>
      </w:r>
      <w:r w:rsidRPr="00643C95">
        <w:rPr>
          <w:sz w:val="28"/>
          <w:szCs w:val="24"/>
        </w:rPr>
        <w:t xml:space="preserve">id and </w:t>
      </w:r>
      <w:r w:rsidR="001C30A5" w:rsidRPr="00643C95">
        <w:rPr>
          <w:sz w:val="28"/>
          <w:szCs w:val="24"/>
        </w:rPr>
        <w:t>C</w:t>
      </w:r>
      <w:r w:rsidRPr="00643C95">
        <w:rPr>
          <w:sz w:val="28"/>
          <w:szCs w:val="24"/>
        </w:rPr>
        <w:t>omfort.”</w:t>
      </w:r>
      <w:r w:rsidRPr="00643C95">
        <w:rPr>
          <w:rStyle w:val="NoterefInText"/>
          <w:sz w:val="18"/>
        </w:rPr>
        <w:footnoteReference w:id="11"/>
      </w:r>
      <w:r w:rsidRPr="00643C95">
        <w:rPr>
          <w:sz w:val="28"/>
          <w:szCs w:val="24"/>
        </w:rPr>
        <w:t xml:space="preserve"> </w:t>
      </w:r>
      <w:r w:rsidR="00675842" w:rsidRPr="00643C95">
        <w:rPr>
          <w:sz w:val="28"/>
          <w:szCs w:val="24"/>
        </w:rPr>
        <w:t>T</w:t>
      </w:r>
      <w:r w:rsidRPr="00643C95">
        <w:rPr>
          <w:sz w:val="28"/>
          <w:szCs w:val="24"/>
        </w:rPr>
        <w:t xml:space="preserve">his constitutional definition </w:t>
      </w:r>
      <w:r w:rsidR="00675842" w:rsidRPr="00643C95">
        <w:rPr>
          <w:sz w:val="28"/>
          <w:szCs w:val="24"/>
        </w:rPr>
        <w:t xml:space="preserve">applies within </w:t>
      </w:r>
      <w:r w:rsidRPr="00643C95">
        <w:rPr>
          <w:sz w:val="28"/>
          <w:szCs w:val="24"/>
        </w:rPr>
        <w:t>Dershowitz</w:t>
      </w:r>
      <w:r w:rsidR="00684613" w:rsidRPr="00643C95">
        <w:rPr>
          <w:sz w:val="28"/>
          <w:szCs w:val="24"/>
        </w:rPr>
        <w:t>’s textual approach,</w:t>
      </w:r>
      <w:r w:rsidRPr="00643C95">
        <w:rPr>
          <w:sz w:val="28"/>
          <w:szCs w:val="24"/>
        </w:rPr>
        <w:t xml:space="preserve"> and is therefore a legitimate basis for impeachment. Though he admits</w:t>
      </w:r>
      <w:r w:rsidR="00675842" w:rsidRPr="00643C95">
        <w:rPr>
          <w:sz w:val="28"/>
          <w:szCs w:val="24"/>
        </w:rPr>
        <w:t xml:space="preserve"> that</w:t>
      </w:r>
      <w:r w:rsidRPr="00643C95">
        <w:rPr>
          <w:sz w:val="28"/>
          <w:szCs w:val="24"/>
        </w:rPr>
        <w:t xml:space="preserve"> the second and third enumerated bases</w:t>
      </w:r>
      <w:r w:rsidR="00675842" w:rsidRPr="00643C95">
        <w:rPr>
          <w:sz w:val="28"/>
          <w:szCs w:val="24"/>
        </w:rPr>
        <w:t>—</w:t>
      </w:r>
      <w:r w:rsidRPr="00643C95">
        <w:rPr>
          <w:sz w:val="28"/>
          <w:szCs w:val="24"/>
        </w:rPr>
        <w:t>bribery</w:t>
      </w:r>
      <w:r w:rsidR="00675842" w:rsidRPr="00643C95">
        <w:rPr>
          <w:sz w:val="28"/>
          <w:szCs w:val="24"/>
        </w:rPr>
        <w:t>,</w:t>
      </w:r>
      <w:r w:rsidRPr="00643C95">
        <w:rPr>
          <w:sz w:val="28"/>
          <w:szCs w:val="24"/>
        </w:rPr>
        <w:t xml:space="preserve"> and high crimes and misdemeanors</w:t>
      </w:r>
      <w:r w:rsidR="00675842" w:rsidRPr="00643C95">
        <w:rPr>
          <w:sz w:val="28"/>
          <w:szCs w:val="24"/>
        </w:rPr>
        <w:t>—</w:t>
      </w:r>
      <w:r w:rsidRPr="00643C95">
        <w:rPr>
          <w:sz w:val="28"/>
          <w:szCs w:val="24"/>
        </w:rPr>
        <w:t>are not defined in the Constitution, it is only the high crimes and misdemeanors basis that Dershowitz apparently finds fatally vague and therefore is an unavailable basis for impeachment.</w:t>
      </w:r>
      <w:r w:rsidRPr="00643C95">
        <w:rPr>
          <w:rStyle w:val="NoterefInText"/>
          <w:sz w:val="18"/>
        </w:rPr>
        <w:footnoteReference w:id="12"/>
      </w:r>
      <w:r w:rsidRPr="00643C95">
        <w:rPr>
          <w:sz w:val="28"/>
          <w:szCs w:val="24"/>
        </w:rPr>
        <w:t xml:space="preserve"> </w:t>
      </w:r>
      <w:r w:rsidR="00433301" w:rsidRPr="00643C95">
        <w:rPr>
          <w:sz w:val="28"/>
          <w:szCs w:val="24"/>
        </w:rPr>
        <w:t>Dershowitz</w:t>
      </w:r>
      <w:r w:rsidR="00A20EF4" w:rsidRPr="00643C95">
        <w:rPr>
          <w:sz w:val="28"/>
          <w:szCs w:val="24"/>
        </w:rPr>
        <w:t xml:space="preserve"> </w:t>
      </w:r>
      <w:r w:rsidR="00433301" w:rsidRPr="00643C95">
        <w:rPr>
          <w:sz w:val="28"/>
          <w:szCs w:val="24"/>
        </w:rPr>
        <w:t>apparently</w:t>
      </w:r>
      <w:r w:rsidR="00A20EF4" w:rsidRPr="00643C95">
        <w:rPr>
          <w:sz w:val="28"/>
          <w:szCs w:val="24"/>
        </w:rPr>
        <w:t xml:space="preserve"> </w:t>
      </w:r>
      <w:r w:rsidR="00433301" w:rsidRPr="00643C95">
        <w:rPr>
          <w:sz w:val="28"/>
          <w:szCs w:val="24"/>
        </w:rPr>
        <w:t>has</w:t>
      </w:r>
      <w:r w:rsidR="00A20EF4" w:rsidRPr="00643C95">
        <w:rPr>
          <w:sz w:val="28"/>
          <w:szCs w:val="24"/>
        </w:rPr>
        <w:t xml:space="preserve"> </w:t>
      </w:r>
      <w:r w:rsidR="00433301" w:rsidRPr="00643C95">
        <w:rPr>
          <w:sz w:val="28"/>
          <w:szCs w:val="24"/>
        </w:rPr>
        <w:t>less of a</w:t>
      </w:r>
      <w:r w:rsidR="00A20EF4" w:rsidRPr="00643C95">
        <w:rPr>
          <w:sz w:val="28"/>
          <w:szCs w:val="24"/>
        </w:rPr>
        <w:t xml:space="preserve"> </w:t>
      </w:r>
      <w:r w:rsidR="00433301" w:rsidRPr="00643C95">
        <w:rPr>
          <w:sz w:val="28"/>
          <w:szCs w:val="24"/>
        </w:rPr>
        <w:t>concern</w:t>
      </w:r>
      <w:r w:rsidR="00A20EF4" w:rsidRPr="00643C95">
        <w:rPr>
          <w:sz w:val="28"/>
          <w:szCs w:val="24"/>
        </w:rPr>
        <w:t xml:space="preserve"> </w:t>
      </w:r>
      <w:r w:rsidR="00433301" w:rsidRPr="00643C95">
        <w:rPr>
          <w:sz w:val="28"/>
          <w:szCs w:val="24"/>
        </w:rPr>
        <w:t>for</w:t>
      </w:r>
      <w:r w:rsidR="00A20EF4" w:rsidRPr="00643C95">
        <w:rPr>
          <w:sz w:val="28"/>
          <w:szCs w:val="24"/>
        </w:rPr>
        <w:t xml:space="preserve"> </w:t>
      </w:r>
      <w:r w:rsidR="00433301" w:rsidRPr="00643C95">
        <w:rPr>
          <w:sz w:val="28"/>
          <w:szCs w:val="24"/>
        </w:rPr>
        <w:t>bribery because it is a crime</w:t>
      </w:r>
      <w:r w:rsidR="00A20EF4" w:rsidRPr="00643C95">
        <w:rPr>
          <w:sz w:val="28"/>
          <w:szCs w:val="24"/>
        </w:rPr>
        <w:t>.</w:t>
      </w:r>
      <w:r w:rsidR="00433301" w:rsidRPr="00643C95">
        <w:rPr>
          <w:rStyle w:val="NoterefInText"/>
          <w:sz w:val="18"/>
        </w:rPr>
        <w:footnoteReference w:id="13"/>
      </w:r>
      <w:r w:rsidR="00A20EF4" w:rsidRPr="00643C95">
        <w:rPr>
          <w:sz w:val="28"/>
          <w:szCs w:val="24"/>
        </w:rPr>
        <w:t xml:space="preserve"> </w:t>
      </w:r>
      <w:r w:rsidRPr="00643C95">
        <w:rPr>
          <w:sz w:val="28"/>
          <w:szCs w:val="24"/>
        </w:rPr>
        <w:t>Dershowitz doesn’t openly state his antipathy for the high crimes or misdemeanors basis for impeachment. Instead, in what is an overall cryptic and truncated analysis, which amounts to no more than thirty</w:t>
      </w:r>
      <w:r w:rsidR="008C7F17" w:rsidRPr="00643C95">
        <w:rPr>
          <w:sz w:val="28"/>
          <w:szCs w:val="24"/>
        </w:rPr>
        <w:t>-</w:t>
      </w:r>
      <w:r w:rsidRPr="00643C95">
        <w:rPr>
          <w:sz w:val="28"/>
          <w:szCs w:val="24"/>
        </w:rPr>
        <w:t xml:space="preserve">two pages (including the book’s conclusion) of new materials (the remaining </w:t>
      </w:r>
      <w:r w:rsidR="008C7F17" w:rsidRPr="00643C95">
        <w:rPr>
          <w:sz w:val="28"/>
          <w:szCs w:val="24"/>
        </w:rPr>
        <w:t>114</w:t>
      </w:r>
      <w:r w:rsidRPr="00643C95">
        <w:rPr>
          <w:sz w:val="28"/>
          <w:szCs w:val="24"/>
        </w:rPr>
        <w:t xml:space="preserve"> pages of the book are excerpts of the professor’s previous editorials and interviews arguably related to his main thesis), Dershowitz spends the bulk of his argument addressing the purported procedural shortcomings of the high crimes impeachment basis</w:t>
      </w:r>
      <w:r w:rsidR="00CF164D" w:rsidRPr="00643C95">
        <w:rPr>
          <w:sz w:val="28"/>
          <w:szCs w:val="24"/>
        </w:rPr>
        <w:t>—</w:t>
      </w:r>
      <w:r w:rsidR="00C9571E" w:rsidRPr="00643C95">
        <w:rPr>
          <w:sz w:val="28"/>
          <w:szCs w:val="24"/>
        </w:rPr>
        <w:t xml:space="preserve"> attempting to limit its use to crimes</w:t>
      </w:r>
      <w:r w:rsidRPr="00643C95">
        <w:rPr>
          <w:sz w:val="28"/>
          <w:szCs w:val="24"/>
        </w:rPr>
        <w:t>.</w:t>
      </w:r>
      <w:r w:rsidRPr="00643C95">
        <w:rPr>
          <w:rStyle w:val="NoterefInText"/>
          <w:sz w:val="18"/>
        </w:rPr>
        <w:footnoteReference w:id="14"/>
      </w:r>
      <w:r w:rsidRPr="00643C95">
        <w:rPr>
          <w:sz w:val="28"/>
          <w:szCs w:val="24"/>
        </w:rPr>
        <w:t xml:space="preserve"> Indeed, while Dershowitz spends virtually no time objecting to the bribery basis for impeachment</w:t>
      </w:r>
      <w:r w:rsidR="006A125A" w:rsidRPr="00643C95">
        <w:rPr>
          <w:sz w:val="28"/>
          <w:szCs w:val="24"/>
        </w:rPr>
        <w:t>—</w:t>
      </w:r>
      <w:r w:rsidRPr="00643C95">
        <w:rPr>
          <w:sz w:val="28"/>
          <w:szCs w:val="24"/>
        </w:rPr>
        <w:t>which he admits is not defined in the text of the Constitution</w:t>
      </w:r>
      <w:r w:rsidR="006A125A" w:rsidRPr="00643C95">
        <w:rPr>
          <w:sz w:val="28"/>
          <w:szCs w:val="24"/>
        </w:rPr>
        <w:t>, causing him to</w:t>
      </w:r>
      <w:r w:rsidRPr="00643C95">
        <w:rPr>
          <w:sz w:val="28"/>
          <w:szCs w:val="24"/>
        </w:rPr>
        <w:t xml:space="preserve"> look to </w:t>
      </w:r>
      <w:r w:rsidR="006A125A" w:rsidRPr="00643C95">
        <w:rPr>
          <w:sz w:val="28"/>
          <w:szCs w:val="24"/>
        </w:rPr>
        <w:t xml:space="preserve">bribery’s </w:t>
      </w:r>
      <w:r w:rsidRPr="00643C95">
        <w:rPr>
          <w:sz w:val="28"/>
          <w:szCs w:val="24"/>
        </w:rPr>
        <w:t>common law definition</w:t>
      </w:r>
      <w:r w:rsidR="006A125A" w:rsidRPr="00643C95">
        <w:rPr>
          <w:sz w:val="28"/>
          <w:szCs w:val="24"/>
        </w:rPr>
        <w:t>—</w:t>
      </w:r>
      <w:r w:rsidRPr="00643C95">
        <w:rPr>
          <w:sz w:val="28"/>
          <w:szCs w:val="24"/>
        </w:rPr>
        <w:t xml:space="preserve">he harps on the high crimes basis, without effectively explaining </w:t>
      </w:r>
      <w:r w:rsidR="006A125A" w:rsidRPr="00643C95">
        <w:rPr>
          <w:sz w:val="28"/>
          <w:szCs w:val="24"/>
        </w:rPr>
        <w:t>this choice</w:t>
      </w:r>
      <w:r w:rsidRPr="00643C95">
        <w:rPr>
          <w:sz w:val="28"/>
          <w:szCs w:val="24"/>
        </w:rPr>
        <w:t>. Then instead of looking to what the drafters of the constitution stated concerning the high crimes or misdemeanor grounds for impeachment</w:t>
      </w:r>
      <w:r w:rsidR="0028459A" w:rsidRPr="00643C95">
        <w:rPr>
          <w:sz w:val="28"/>
          <w:szCs w:val="24"/>
        </w:rPr>
        <w:t>—</w:t>
      </w:r>
      <w:r w:rsidRPr="00643C95">
        <w:rPr>
          <w:sz w:val="28"/>
          <w:szCs w:val="24"/>
        </w:rPr>
        <w:t>or even looking to judicial or congressional pronouncements on the subject</w:t>
      </w:r>
      <w:r w:rsidR="0028459A" w:rsidRPr="00643C95">
        <w:rPr>
          <w:sz w:val="28"/>
          <w:szCs w:val="24"/>
        </w:rPr>
        <w:t>—</w:t>
      </w:r>
      <w:r w:rsidRPr="00643C95">
        <w:rPr>
          <w:sz w:val="28"/>
          <w:szCs w:val="24"/>
        </w:rPr>
        <w:t xml:space="preserve">Dershowitz shifts his focus to attacking those that advocate a </w:t>
      </w:r>
      <w:r w:rsidR="00CB1F84" w:rsidRPr="00643C95">
        <w:rPr>
          <w:sz w:val="28"/>
          <w:szCs w:val="24"/>
        </w:rPr>
        <w:t xml:space="preserve">broad interpretation </w:t>
      </w:r>
      <w:r w:rsidRPr="00643C95">
        <w:rPr>
          <w:sz w:val="28"/>
          <w:szCs w:val="24"/>
        </w:rPr>
        <w:t>of the “and other high crimes and misdemeanor” basis.</w:t>
      </w:r>
      <w:r w:rsidR="00CF164D" w:rsidRPr="00643C95">
        <w:rPr>
          <w:sz w:val="28"/>
          <w:szCs w:val="24"/>
        </w:rPr>
        <w:t xml:space="preserve"> </w:t>
      </w:r>
      <w:r w:rsidR="00CB1F84" w:rsidRPr="00643C95">
        <w:rPr>
          <w:sz w:val="28"/>
          <w:szCs w:val="24"/>
        </w:rPr>
        <w:t>He ultimately rejects any reading of the impeachment clause</w:t>
      </w:r>
      <w:r w:rsidR="000631F1" w:rsidRPr="00643C95">
        <w:rPr>
          <w:sz w:val="28"/>
          <w:szCs w:val="24"/>
        </w:rPr>
        <w:t xml:space="preserve"> </w:t>
      </w:r>
      <w:r w:rsidR="00CB1F84" w:rsidRPr="00643C95">
        <w:rPr>
          <w:sz w:val="28"/>
          <w:szCs w:val="24"/>
        </w:rPr>
        <w:t>that does not make a crime a prerequisite to impeachment.</w:t>
      </w:r>
      <w:r w:rsidR="00433301" w:rsidRPr="00643C95">
        <w:rPr>
          <w:rStyle w:val="NoterefInText"/>
          <w:sz w:val="18"/>
        </w:rPr>
        <w:footnoteReference w:id="15"/>
      </w:r>
      <w:r w:rsidR="000631F1" w:rsidRPr="00643C95">
        <w:rPr>
          <w:sz w:val="28"/>
          <w:szCs w:val="24"/>
        </w:rPr>
        <w:t xml:space="preserve"> </w:t>
      </w:r>
      <w:r w:rsidR="00C57DCB" w:rsidRPr="00643C95">
        <w:rPr>
          <w:sz w:val="28"/>
          <w:szCs w:val="24"/>
        </w:rPr>
        <w:t>As a result</w:t>
      </w:r>
      <w:r w:rsidR="000631F1" w:rsidRPr="00643C95">
        <w:rPr>
          <w:sz w:val="28"/>
          <w:szCs w:val="24"/>
        </w:rPr>
        <w:t xml:space="preserve">, </w:t>
      </w:r>
      <w:r w:rsidR="00C57DCB" w:rsidRPr="00643C95">
        <w:rPr>
          <w:sz w:val="28"/>
          <w:szCs w:val="24"/>
        </w:rPr>
        <w:t>he rejects previous interpretations</w:t>
      </w:r>
      <w:r w:rsidR="000631F1" w:rsidRPr="00643C95">
        <w:rPr>
          <w:sz w:val="28"/>
          <w:szCs w:val="24"/>
        </w:rPr>
        <w:t xml:space="preserve"> </w:t>
      </w:r>
      <w:r w:rsidR="0058022B" w:rsidRPr="00643C95">
        <w:rPr>
          <w:sz w:val="28"/>
          <w:szCs w:val="24"/>
        </w:rPr>
        <w:t>by both President Ford</w:t>
      </w:r>
      <w:r w:rsidR="000631F1" w:rsidRPr="00643C95">
        <w:rPr>
          <w:sz w:val="28"/>
          <w:szCs w:val="24"/>
        </w:rPr>
        <w:t xml:space="preserve">, </w:t>
      </w:r>
      <w:r w:rsidR="0058022B" w:rsidRPr="00643C95">
        <w:rPr>
          <w:sz w:val="28"/>
          <w:szCs w:val="24"/>
        </w:rPr>
        <w:t>when he served in Congress</w:t>
      </w:r>
      <w:r w:rsidR="000631F1" w:rsidRPr="00643C95">
        <w:rPr>
          <w:sz w:val="28"/>
          <w:szCs w:val="24"/>
        </w:rPr>
        <w:t xml:space="preserve">, </w:t>
      </w:r>
      <w:r w:rsidR="0058022B" w:rsidRPr="00643C95">
        <w:rPr>
          <w:sz w:val="28"/>
          <w:szCs w:val="24"/>
        </w:rPr>
        <w:t>and current Congresswoman Maxine Waters; each</w:t>
      </w:r>
      <w:r w:rsidR="000631F1" w:rsidRPr="00643C95">
        <w:rPr>
          <w:sz w:val="28"/>
          <w:szCs w:val="24"/>
        </w:rPr>
        <w:t xml:space="preserve"> </w:t>
      </w:r>
      <w:r w:rsidR="0058022B" w:rsidRPr="00643C95">
        <w:rPr>
          <w:sz w:val="28"/>
          <w:szCs w:val="24"/>
        </w:rPr>
        <w:t>have argued that high crimes and misdemeanors</w:t>
      </w:r>
      <w:r w:rsidR="000631F1" w:rsidRPr="00643C95">
        <w:rPr>
          <w:sz w:val="28"/>
          <w:szCs w:val="24"/>
        </w:rPr>
        <w:t xml:space="preserve"> </w:t>
      </w:r>
      <w:r w:rsidR="0058022B" w:rsidRPr="00643C95">
        <w:rPr>
          <w:sz w:val="28"/>
          <w:szCs w:val="24"/>
        </w:rPr>
        <w:t xml:space="preserve">is whatever </w:t>
      </w:r>
      <w:r w:rsidR="00281845" w:rsidRPr="00643C95">
        <w:rPr>
          <w:sz w:val="28"/>
          <w:szCs w:val="24"/>
        </w:rPr>
        <w:t>t</w:t>
      </w:r>
      <w:r w:rsidR="0058022B" w:rsidRPr="00643C95">
        <w:rPr>
          <w:sz w:val="28"/>
          <w:szCs w:val="24"/>
        </w:rPr>
        <w:t>he house of</w:t>
      </w:r>
      <w:r w:rsidR="000631F1" w:rsidRPr="00643C95">
        <w:rPr>
          <w:sz w:val="28"/>
          <w:szCs w:val="24"/>
        </w:rPr>
        <w:t xml:space="preserve"> </w:t>
      </w:r>
      <w:r w:rsidR="00281845" w:rsidRPr="00643C95">
        <w:rPr>
          <w:sz w:val="28"/>
          <w:szCs w:val="24"/>
        </w:rPr>
        <w:t xml:space="preserve">representatives </w:t>
      </w:r>
      <w:r w:rsidR="000631F1" w:rsidRPr="00643C95">
        <w:rPr>
          <w:sz w:val="28"/>
          <w:szCs w:val="24"/>
        </w:rPr>
        <w:t xml:space="preserve"> </w:t>
      </w:r>
      <w:r w:rsidR="00281845" w:rsidRPr="00643C95">
        <w:rPr>
          <w:sz w:val="28"/>
          <w:szCs w:val="24"/>
        </w:rPr>
        <w:t>deems</w:t>
      </w:r>
      <w:r w:rsidR="000631F1" w:rsidRPr="00643C95">
        <w:rPr>
          <w:sz w:val="28"/>
          <w:szCs w:val="24"/>
        </w:rPr>
        <w:t xml:space="preserve"> </w:t>
      </w:r>
      <w:r w:rsidR="00281845" w:rsidRPr="00643C95">
        <w:rPr>
          <w:sz w:val="28"/>
          <w:szCs w:val="24"/>
        </w:rPr>
        <w:t>appropriate.</w:t>
      </w:r>
      <w:r w:rsidR="00433301" w:rsidRPr="00643C95">
        <w:rPr>
          <w:rStyle w:val="NoterefInText"/>
          <w:sz w:val="18"/>
        </w:rPr>
        <w:footnoteReference w:id="16"/>
      </w:r>
      <w:r w:rsidR="000631F1" w:rsidRPr="00643C95">
        <w:rPr>
          <w:sz w:val="28"/>
          <w:szCs w:val="24"/>
        </w:rPr>
        <w:t xml:space="preserve"> </w:t>
      </w:r>
      <w:r w:rsidR="00DF2E0E" w:rsidRPr="00643C95">
        <w:rPr>
          <w:sz w:val="28"/>
          <w:szCs w:val="24"/>
        </w:rPr>
        <w:t xml:space="preserve">Another </w:t>
      </w:r>
      <w:r w:rsidR="001D04AB" w:rsidRPr="00643C95">
        <w:rPr>
          <w:sz w:val="28"/>
          <w:szCs w:val="24"/>
        </w:rPr>
        <w:t>questionable</w:t>
      </w:r>
      <w:r w:rsidR="00DF2E0E" w:rsidRPr="00643C95">
        <w:rPr>
          <w:sz w:val="28"/>
          <w:szCs w:val="24"/>
        </w:rPr>
        <w:t xml:space="preserve"> aspect of Dershowitz’s argument</w:t>
      </w:r>
      <w:r w:rsidR="001D04AB" w:rsidRPr="00643C95">
        <w:rPr>
          <w:sz w:val="28"/>
          <w:szCs w:val="24"/>
        </w:rPr>
        <w:t xml:space="preserve"> against impeachment</w:t>
      </w:r>
      <w:r w:rsidR="00DF2E0E" w:rsidRPr="00643C95">
        <w:rPr>
          <w:sz w:val="28"/>
          <w:szCs w:val="24"/>
        </w:rPr>
        <w:t xml:space="preserve"> is </w:t>
      </w:r>
      <w:r w:rsidR="001D04AB" w:rsidRPr="00643C95">
        <w:rPr>
          <w:sz w:val="28"/>
          <w:szCs w:val="24"/>
        </w:rPr>
        <w:t>his effort at</w:t>
      </w:r>
      <w:r w:rsidR="00DF2E0E" w:rsidRPr="00643C95">
        <w:rPr>
          <w:sz w:val="28"/>
          <w:szCs w:val="24"/>
        </w:rPr>
        <w:t xml:space="preserve"> equating the process </w:t>
      </w:r>
      <w:r w:rsidR="00694A80" w:rsidRPr="00643C95">
        <w:rPr>
          <w:sz w:val="28"/>
          <w:szCs w:val="24"/>
        </w:rPr>
        <w:t>of</w:t>
      </w:r>
      <w:r w:rsidR="00DF2E0E" w:rsidRPr="00643C95">
        <w:rPr>
          <w:sz w:val="28"/>
          <w:szCs w:val="24"/>
        </w:rPr>
        <w:t xml:space="preserve"> impeachment to the procedural requirements of a criminal trial. Yet the Impeachment Clause</w:t>
      </w:r>
      <w:r w:rsidR="00A07403" w:rsidRPr="00643C95">
        <w:rPr>
          <w:sz w:val="28"/>
          <w:szCs w:val="24"/>
        </w:rPr>
        <w:t xml:space="preserve"> does not</w:t>
      </w:r>
      <w:r w:rsidR="00DF2E0E" w:rsidRPr="00643C95">
        <w:rPr>
          <w:sz w:val="28"/>
          <w:szCs w:val="24"/>
        </w:rPr>
        <w:t xml:space="preserve"> </w:t>
      </w:r>
      <w:r w:rsidR="000330F6" w:rsidRPr="00643C95">
        <w:rPr>
          <w:sz w:val="28"/>
          <w:szCs w:val="24"/>
        </w:rPr>
        <w:t>call</w:t>
      </w:r>
      <w:r w:rsidR="00DF2E0E" w:rsidRPr="00643C95">
        <w:rPr>
          <w:sz w:val="28"/>
          <w:szCs w:val="24"/>
        </w:rPr>
        <w:t xml:space="preserve"> for a criminal proceeding for impeachment</w:t>
      </w:r>
      <w:r w:rsidR="00694A80" w:rsidRPr="00643C95">
        <w:rPr>
          <w:sz w:val="28"/>
          <w:szCs w:val="24"/>
        </w:rPr>
        <w:t>. I</w:t>
      </w:r>
      <w:r w:rsidR="00DF2E0E" w:rsidRPr="00643C95">
        <w:rPr>
          <w:sz w:val="28"/>
          <w:szCs w:val="24"/>
        </w:rPr>
        <w:t>nstead</w:t>
      </w:r>
      <w:r w:rsidR="000330F6" w:rsidRPr="00643C95">
        <w:rPr>
          <w:sz w:val="28"/>
          <w:szCs w:val="24"/>
        </w:rPr>
        <w:t>,</w:t>
      </w:r>
      <w:r w:rsidR="00DF2E0E" w:rsidRPr="00643C95">
        <w:rPr>
          <w:sz w:val="28"/>
          <w:szCs w:val="24"/>
        </w:rPr>
        <w:t xml:space="preserve"> it provides </w:t>
      </w:r>
      <w:r w:rsidR="00DF2E0E" w:rsidRPr="00643C95">
        <w:rPr>
          <w:sz w:val="28"/>
          <w:szCs w:val="24"/>
        </w:rPr>
        <w:lastRenderedPageBreak/>
        <w:t xml:space="preserve">for a trial by the House of Representatives, a political </w:t>
      </w:r>
      <w:proofErr w:type="gramStart"/>
      <w:r w:rsidR="00DF2E0E" w:rsidRPr="00643C95">
        <w:rPr>
          <w:sz w:val="28"/>
          <w:szCs w:val="24"/>
        </w:rPr>
        <w:t>endeavor by definition</w:t>
      </w:r>
      <w:proofErr w:type="gramEnd"/>
      <w:r w:rsidR="00DF2E0E" w:rsidRPr="00643C95">
        <w:rPr>
          <w:sz w:val="28"/>
          <w:szCs w:val="24"/>
        </w:rPr>
        <w:t>. Thus, Dershowitz’s criminal law and criminal procedure-based arguments may very well be misplaced.</w:t>
      </w:r>
      <w:r w:rsidR="00DF2E0E" w:rsidRPr="00643C95">
        <w:rPr>
          <w:b/>
          <w:sz w:val="28"/>
          <w:szCs w:val="24"/>
          <w:u w:val="single"/>
        </w:rPr>
        <w:t xml:space="preserve"> </w:t>
      </w:r>
      <w:r w:rsidR="0095516C" w:rsidRPr="00643C95">
        <w:rPr>
          <w:sz w:val="28"/>
          <w:szCs w:val="24"/>
        </w:rPr>
        <w:t>While the text of the Impeachment Clause</w:t>
      </w:r>
      <w:r w:rsidR="000631F1" w:rsidRPr="00643C95">
        <w:rPr>
          <w:sz w:val="28"/>
          <w:szCs w:val="24"/>
        </w:rPr>
        <w:t xml:space="preserve"> </w:t>
      </w:r>
      <w:r w:rsidR="0095516C" w:rsidRPr="00643C95">
        <w:rPr>
          <w:sz w:val="28"/>
          <w:szCs w:val="24"/>
        </w:rPr>
        <w:t>is far from clear on this point</w:t>
      </w:r>
      <w:r w:rsidR="000631F1" w:rsidRPr="00643C95">
        <w:rPr>
          <w:sz w:val="28"/>
          <w:szCs w:val="24"/>
        </w:rPr>
        <w:t xml:space="preserve">, </w:t>
      </w:r>
      <w:r w:rsidR="0095516C" w:rsidRPr="00643C95">
        <w:rPr>
          <w:sz w:val="28"/>
          <w:szCs w:val="24"/>
        </w:rPr>
        <w:t>interestingly,</w:t>
      </w:r>
      <w:r w:rsidR="00CF164D" w:rsidRPr="00643C95">
        <w:rPr>
          <w:sz w:val="28"/>
          <w:szCs w:val="24"/>
        </w:rPr>
        <w:t xml:space="preserve"> </w:t>
      </w:r>
      <w:r w:rsidR="0095516C" w:rsidRPr="00643C95">
        <w:rPr>
          <w:sz w:val="28"/>
          <w:szCs w:val="24"/>
        </w:rPr>
        <w:t>Dershowitz</w:t>
      </w:r>
      <w:r w:rsidR="00CF164D" w:rsidRPr="00643C95">
        <w:rPr>
          <w:sz w:val="28"/>
          <w:szCs w:val="24"/>
        </w:rPr>
        <w:t xml:space="preserve"> </w:t>
      </w:r>
      <w:r w:rsidR="0095516C" w:rsidRPr="00643C95">
        <w:rPr>
          <w:sz w:val="28"/>
          <w:szCs w:val="24"/>
        </w:rPr>
        <w:t>does not</w:t>
      </w:r>
      <w:r w:rsidR="00CF164D" w:rsidRPr="00643C95">
        <w:rPr>
          <w:sz w:val="28"/>
          <w:szCs w:val="24"/>
        </w:rPr>
        <w:t xml:space="preserve"> </w:t>
      </w:r>
      <w:r w:rsidRPr="00643C95">
        <w:rPr>
          <w:sz w:val="28"/>
          <w:szCs w:val="24"/>
        </w:rPr>
        <w:t>consider</w:t>
      </w:r>
      <w:r w:rsidR="00085FD5" w:rsidRPr="00643C95">
        <w:rPr>
          <w:sz w:val="28"/>
          <w:szCs w:val="24"/>
        </w:rPr>
        <w:t xml:space="preserve"> that</w:t>
      </w:r>
      <w:r w:rsidRPr="00643C95">
        <w:rPr>
          <w:sz w:val="28"/>
          <w:szCs w:val="24"/>
        </w:rPr>
        <w:t xml:space="preserve"> the very placement of “and other high crimes and misdemeanor” in the list of impeachable acts alone strongly suggests this </w:t>
      </w:r>
      <w:r w:rsidR="00CB6128" w:rsidRPr="00643C95">
        <w:rPr>
          <w:sz w:val="28"/>
          <w:szCs w:val="24"/>
        </w:rPr>
        <w:t xml:space="preserve">clause </w:t>
      </w:r>
      <w:r w:rsidRPr="00643C95">
        <w:rPr>
          <w:sz w:val="28"/>
          <w:szCs w:val="24"/>
        </w:rPr>
        <w:t>is in fact the broadest, or even the catch-all, basis for impeachment.</w:t>
      </w:r>
      <w:bookmarkStart w:id="3" w:name="_Hlk529165671"/>
      <w:r w:rsidRPr="00643C95">
        <w:rPr>
          <w:rStyle w:val="NoterefInText"/>
          <w:sz w:val="18"/>
        </w:rPr>
        <w:footnoteReference w:id="17"/>
      </w:r>
      <w:bookmarkEnd w:id="3"/>
      <w:r w:rsidRPr="00643C95">
        <w:rPr>
          <w:sz w:val="28"/>
          <w:szCs w:val="24"/>
        </w:rPr>
        <w:t xml:space="preserve"> Further, as a matter of statutory </w:t>
      </w:r>
      <w:r w:rsidR="00B47EB1" w:rsidRPr="00643C95">
        <w:rPr>
          <w:sz w:val="28"/>
          <w:szCs w:val="24"/>
        </w:rPr>
        <w:t xml:space="preserve">interpretation </w:t>
      </w:r>
      <w:r w:rsidRPr="00643C95">
        <w:rPr>
          <w:sz w:val="28"/>
          <w:szCs w:val="24"/>
        </w:rPr>
        <w:t>and basic sentence construction, the fact the broadest language happen</w:t>
      </w:r>
      <w:r w:rsidR="00085FD5" w:rsidRPr="00643C95">
        <w:rPr>
          <w:sz w:val="28"/>
          <w:szCs w:val="24"/>
        </w:rPr>
        <w:t>s</w:t>
      </w:r>
      <w:r w:rsidRPr="00643C95">
        <w:rPr>
          <w:sz w:val="28"/>
          <w:szCs w:val="24"/>
        </w:rPr>
        <w:t xml:space="preserve"> to be listed last similarly suggests this basis should be read broadly. Indeed, such a broad reading was exactly what the framers of the Constitution intended. While Dershowitz, as a self-professed textualist, is no fan of anything other than the text of the Constitution</w:t>
      </w:r>
      <w:r w:rsidR="00CF164D" w:rsidRPr="00643C95">
        <w:rPr>
          <w:sz w:val="28"/>
          <w:szCs w:val="24"/>
        </w:rPr>
        <w:t xml:space="preserve"> </w:t>
      </w:r>
      <w:r w:rsidR="00194665" w:rsidRPr="00643C95">
        <w:rPr>
          <w:sz w:val="28"/>
          <w:szCs w:val="24"/>
        </w:rPr>
        <w:t>if the text is unambiguous</w:t>
      </w:r>
      <w:r w:rsidRPr="00643C95">
        <w:rPr>
          <w:sz w:val="28"/>
          <w:szCs w:val="24"/>
        </w:rPr>
        <w:t>,</w:t>
      </w:r>
      <w:r w:rsidR="00194665" w:rsidRPr="00643C95">
        <w:rPr>
          <w:rStyle w:val="NoterefInText"/>
          <w:sz w:val="18"/>
        </w:rPr>
        <w:footnoteReference w:id="18"/>
      </w:r>
      <w:r w:rsidRPr="00643C95">
        <w:rPr>
          <w:sz w:val="28"/>
          <w:szCs w:val="24"/>
        </w:rPr>
        <w:t xml:space="preserve"> it is in interpreting the Constitution’s Impeachment Clause where the shortcomings of his approach are highlighted. Indeed, it is here where textualism </w:t>
      </w:r>
      <w:r w:rsidR="00E95D32" w:rsidRPr="00643C95">
        <w:rPr>
          <w:sz w:val="28"/>
          <w:szCs w:val="24"/>
        </w:rPr>
        <w:t>falls short</w:t>
      </w:r>
      <w:r w:rsidRPr="00643C95">
        <w:rPr>
          <w:sz w:val="28"/>
          <w:szCs w:val="24"/>
        </w:rPr>
        <w:t xml:space="preserve"> because it utterly fails to seek or </w:t>
      </w:r>
      <w:r w:rsidR="00E95D32" w:rsidRPr="00643C95">
        <w:rPr>
          <w:sz w:val="28"/>
          <w:szCs w:val="24"/>
        </w:rPr>
        <w:t>acknowledge</w:t>
      </w:r>
      <w:r w:rsidRPr="00643C95">
        <w:rPr>
          <w:sz w:val="28"/>
          <w:szCs w:val="24"/>
        </w:rPr>
        <w:t xml:space="preserve"> what the drafters of the Constitution intended</w:t>
      </w:r>
      <w:r w:rsidR="00366A46" w:rsidRPr="00643C95">
        <w:rPr>
          <w:sz w:val="28"/>
          <w:szCs w:val="24"/>
        </w:rPr>
        <w:t>—</w:t>
      </w:r>
      <w:r w:rsidR="00E95D32" w:rsidRPr="00643C95">
        <w:rPr>
          <w:sz w:val="28"/>
          <w:szCs w:val="24"/>
        </w:rPr>
        <w:t>evidently because,</w:t>
      </w:r>
      <w:r w:rsidR="00CF164D" w:rsidRPr="00643C95">
        <w:rPr>
          <w:sz w:val="28"/>
          <w:szCs w:val="24"/>
        </w:rPr>
        <w:t xml:space="preserve"> </w:t>
      </w:r>
      <w:r w:rsidR="00E95D32" w:rsidRPr="00643C95">
        <w:rPr>
          <w:sz w:val="28"/>
          <w:szCs w:val="24"/>
        </w:rPr>
        <w:t>according to Dershowitz,</w:t>
      </w:r>
      <w:r w:rsidR="00FA516B" w:rsidRPr="00643C95">
        <w:rPr>
          <w:sz w:val="28"/>
          <w:szCs w:val="24"/>
        </w:rPr>
        <w:t xml:space="preserve"> </w:t>
      </w:r>
      <w:r w:rsidR="00E95D32" w:rsidRPr="00643C95">
        <w:rPr>
          <w:sz w:val="28"/>
          <w:szCs w:val="24"/>
        </w:rPr>
        <w:t>the text is in fact unambiguous</w:t>
      </w:r>
      <w:r w:rsidRPr="00643C95">
        <w:rPr>
          <w:sz w:val="28"/>
          <w:szCs w:val="24"/>
        </w:rPr>
        <w:t>.</w:t>
      </w:r>
      <w:r w:rsidR="00FA516B" w:rsidRPr="00643C95">
        <w:rPr>
          <w:sz w:val="28"/>
          <w:szCs w:val="24"/>
        </w:rPr>
        <w:t xml:space="preserve"> </w:t>
      </w:r>
      <w:r w:rsidR="00366A46" w:rsidRPr="00643C95">
        <w:rPr>
          <w:sz w:val="28"/>
          <w:szCs w:val="24"/>
        </w:rPr>
        <w:t>If the text is in fact unambiguous,</w:t>
      </w:r>
      <w:r w:rsidR="00FA516B" w:rsidRPr="00643C95">
        <w:rPr>
          <w:sz w:val="28"/>
          <w:szCs w:val="24"/>
        </w:rPr>
        <w:t xml:space="preserve"> </w:t>
      </w:r>
      <w:r w:rsidR="00366A46" w:rsidRPr="00643C95">
        <w:rPr>
          <w:sz w:val="28"/>
          <w:szCs w:val="24"/>
        </w:rPr>
        <w:t>why is the debate over its language still the subject of dispute 200 years later</w:t>
      </w:r>
      <w:r w:rsidR="00FA516B" w:rsidRPr="00643C95">
        <w:rPr>
          <w:sz w:val="28"/>
          <w:szCs w:val="24"/>
        </w:rPr>
        <w:t>?</w:t>
      </w:r>
      <w:r w:rsidRPr="00643C95">
        <w:rPr>
          <w:sz w:val="28"/>
          <w:szCs w:val="24"/>
        </w:rPr>
        <w:t xml:space="preserve"> </w:t>
      </w:r>
      <w:r w:rsidR="00366A46" w:rsidRPr="00643C95">
        <w:rPr>
          <w:sz w:val="28"/>
          <w:szCs w:val="24"/>
        </w:rPr>
        <w:t>Protestations</w:t>
      </w:r>
      <w:r w:rsidR="00FA516B" w:rsidRPr="00643C95">
        <w:rPr>
          <w:sz w:val="28"/>
          <w:szCs w:val="24"/>
        </w:rPr>
        <w:t xml:space="preserve"> </w:t>
      </w:r>
      <w:r w:rsidR="00366A46" w:rsidRPr="00643C95">
        <w:rPr>
          <w:sz w:val="28"/>
          <w:szCs w:val="24"/>
        </w:rPr>
        <w:t>to</w:t>
      </w:r>
      <w:r w:rsidR="00FA516B" w:rsidRPr="00643C95">
        <w:rPr>
          <w:sz w:val="28"/>
          <w:szCs w:val="24"/>
        </w:rPr>
        <w:t xml:space="preserve"> </w:t>
      </w:r>
      <w:r w:rsidR="00366A46" w:rsidRPr="00643C95">
        <w:rPr>
          <w:sz w:val="28"/>
          <w:szCs w:val="24"/>
        </w:rPr>
        <w:t>the</w:t>
      </w:r>
      <w:r w:rsidR="00FA516B" w:rsidRPr="00643C95">
        <w:rPr>
          <w:sz w:val="28"/>
          <w:szCs w:val="24"/>
        </w:rPr>
        <w:t xml:space="preserve"> </w:t>
      </w:r>
      <w:r w:rsidR="00366A46" w:rsidRPr="00643C95">
        <w:rPr>
          <w:sz w:val="28"/>
          <w:szCs w:val="24"/>
        </w:rPr>
        <w:t>contrary</w:t>
      </w:r>
      <w:r w:rsidR="00FA516B" w:rsidRPr="00643C95">
        <w:rPr>
          <w:sz w:val="28"/>
          <w:szCs w:val="24"/>
        </w:rPr>
        <w:t xml:space="preserve">, </w:t>
      </w:r>
      <w:r w:rsidR="00366A46" w:rsidRPr="00643C95">
        <w:rPr>
          <w:sz w:val="28"/>
          <w:szCs w:val="24"/>
        </w:rPr>
        <w:t>t</w:t>
      </w:r>
      <w:r w:rsidRPr="00643C95">
        <w:rPr>
          <w:sz w:val="28"/>
          <w:szCs w:val="24"/>
        </w:rPr>
        <w:t>he legislative history of the Impeachment Clause makes clear that the third basis for impeachment—high crimes and misdemeanors—was drafted and intended to be a broad catch-all provision. As Yale Professor Thomas I. Emerson observed:</w:t>
      </w:r>
    </w:p>
    <w:p w14:paraId="7935E595" w14:textId="77777777" w:rsidR="00CD65AE" w:rsidRPr="00643C95" w:rsidRDefault="00CD65AE" w:rsidP="00CD65AE">
      <w:pPr>
        <w:pStyle w:val="1StQuoteTXT"/>
        <w:rPr>
          <w:b/>
          <w:sz w:val="24"/>
        </w:rPr>
      </w:pPr>
      <w:r w:rsidRPr="00643C95">
        <w:rPr>
          <w:sz w:val="24"/>
        </w:rPr>
        <w:t>[T]he founding fathers did not wish to take over the English practice lock, stock and barrel. Impeachment was intended to be applicable only in a narrower set of circumstances and with more limited results. Hence, after some preliminary discussion, the proposal was made that the President could be removed from office by impeachment and conviction “</w:t>
      </w:r>
      <w:r w:rsidRPr="00643C95">
        <w:rPr>
          <w:i/>
          <w:sz w:val="24"/>
        </w:rPr>
        <w:t>for treason, or bribery</w:t>
      </w:r>
      <w:r w:rsidRPr="00643C95">
        <w:rPr>
          <w:sz w:val="24"/>
        </w:rPr>
        <w:t xml:space="preserve">.” </w:t>
      </w:r>
      <w:r w:rsidRPr="00643C95">
        <w:rPr>
          <w:i/>
          <w:sz w:val="24"/>
        </w:rPr>
        <w:t>This was deemed too restricted</w:t>
      </w:r>
      <w:r w:rsidRPr="00643C95">
        <w:rPr>
          <w:sz w:val="24"/>
        </w:rPr>
        <w:t xml:space="preserve"> and, after rejecting “maladministration” as a cause for impeachment, on the ground it was too </w:t>
      </w:r>
      <w:r w:rsidRPr="00643C95">
        <w:rPr>
          <w:bCs/>
          <w:sz w:val="24"/>
        </w:rPr>
        <w:t>broad</w:t>
      </w:r>
      <w:r w:rsidRPr="00643C95">
        <w:rPr>
          <w:sz w:val="24"/>
        </w:rPr>
        <w:t xml:space="preserve">, </w:t>
      </w:r>
      <w:r w:rsidRPr="00643C95">
        <w:rPr>
          <w:i/>
          <w:sz w:val="24"/>
        </w:rPr>
        <w:t>the Convention settled on the addition of</w:t>
      </w:r>
      <w:r w:rsidRPr="00643C95">
        <w:rPr>
          <w:b/>
          <w:sz w:val="24"/>
        </w:rPr>
        <w:t xml:space="preserve"> </w:t>
      </w:r>
      <w:r w:rsidRPr="00643C95">
        <w:rPr>
          <w:sz w:val="24"/>
        </w:rPr>
        <w:t>“</w:t>
      </w:r>
      <w:r w:rsidRPr="00643C95">
        <w:rPr>
          <w:i/>
          <w:sz w:val="24"/>
        </w:rPr>
        <w:t xml:space="preserve">other </w:t>
      </w:r>
      <w:r w:rsidRPr="00643C95">
        <w:rPr>
          <w:bCs/>
          <w:i/>
          <w:sz w:val="24"/>
        </w:rPr>
        <w:t>high</w:t>
      </w:r>
      <w:r w:rsidRPr="00643C95">
        <w:rPr>
          <w:i/>
          <w:sz w:val="24"/>
        </w:rPr>
        <w:t xml:space="preserve"> </w:t>
      </w:r>
      <w:r w:rsidRPr="00643C95">
        <w:rPr>
          <w:bCs/>
          <w:i/>
          <w:sz w:val="24"/>
        </w:rPr>
        <w:t>crimes</w:t>
      </w:r>
      <w:r w:rsidRPr="00643C95">
        <w:rPr>
          <w:i/>
          <w:sz w:val="24"/>
        </w:rPr>
        <w:t xml:space="preserve"> </w:t>
      </w:r>
      <w:r w:rsidRPr="00643C95">
        <w:rPr>
          <w:bCs/>
          <w:i/>
          <w:sz w:val="24"/>
        </w:rPr>
        <w:t>and misdemeanors</w:t>
      </w:r>
      <w:r w:rsidRPr="00643C95">
        <w:rPr>
          <w:sz w:val="24"/>
        </w:rPr>
        <w:t xml:space="preserve">.” </w:t>
      </w:r>
      <w:r w:rsidRPr="00643C95">
        <w:rPr>
          <w:i/>
          <w:sz w:val="24"/>
        </w:rPr>
        <w:t>The grounds for impeachment were thus intended to be limited but, apart from a narrow definition of treason elsewhere in the Constitution, the limits were not precisely delineated</w:t>
      </w:r>
      <w:r w:rsidRPr="00643C95">
        <w:rPr>
          <w:b/>
          <w:sz w:val="24"/>
        </w:rPr>
        <w:t>.</w:t>
      </w:r>
      <w:r w:rsidRPr="00643C95">
        <w:rPr>
          <w:rStyle w:val="NoterefInText"/>
          <w:sz w:val="18"/>
        </w:rPr>
        <w:footnoteReference w:id="19"/>
      </w:r>
    </w:p>
    <w:p w14:paraId="23B58B41" w14:textId="5059822E" w:rsidR="00CD65AE" w:rsidRPr="00643C95" w:rsidRDefault="00CD65AE" w:rsidP="00CD65AE">
      <w:pPr>
        <w:pStyle w:val="Document"/>
        <w:widowControl w:val="0"/>
        <w:ind w:firstLine="446"/>
        <w:rPr>
          <w:sz w:val="28"/>
        </w:rPr>
      </w:pPr>
      <w:r w:rsidRPr="00643C95">
        <w:rPr>
          <w:sz w:val="28"/>
          <w:szCs w:val="24"/>
        </w:rPr>
        <w:t>Further, at the Constitutional Convention, the substitute phrase “</w:t>
      </w:r>
      <w:r w:rsidRPr="00643C95">
        <w:rPr>
          <w:bCs/>
          <w:sz w:val="28"/>
          <w:szCs w:val="24"/>
        </w:rPr>
        <w:t>high</w:t>
      </w:r>
      <w:r w:rsidRPr="00643C95">
        <w:rPr>
          <w:sz w:val="28"/>
          <w:szCs w:val="24"/>
        </w:rPr>
        <w:t xml:space="preserve"> </w:t>
      </w:r>
      <w:r w:rsidRPr="00643C95">
        <w:rPr>
          <w:bCs/>
          <w:sz w:val="28"/>
          <w:szCs w:val="24"/>
        </w:rPr>
        <w:t>Crimes</w:t>
      </w:r>
      <w:r w:rsidRPr="00643C95">
        <w:rPr>
          <w:sz w:val="28"/>
          <w:szCs w:val="24"/>
        </w:rPr>
        <w:t xml:space="preserve"> </w:t>
      </w:r>
      <w:r w:rsidRPr="00643C95">
        <w:rPr>
          <w:bCs/>
          <w:sz w:val="28"/>
          <w:szCs w:val="24"/>
        </w:rPr>
        <w:t>and</w:t>
      </w:r>
      <w:r w:rsidRPr="00643C95">
        <w:rPr>
          <w:sz w:val="28"/>
          <w:szCs w:val="24"/>
        </w:rPr>
        <w:t xml:space="preserve"> </w:t>
      </w:r>
      <w:r w:rsidRPr="00643C95">
        <w:rPr>
          <w:bCs/>
          <w:sz w:val="28"/>
          <w:szCs w:val="24"/>
        </w:rPr>
        <w:t>Misdemeanors</w:t>
      </w:r>
      <w:r w:rsidRPr="00643C95">
        <w:rPr>
          <w:sz w:val="28"/>
          <w:szCs w:val="24"/>
        </w:rPr>
        <w:t>” was to be interpreted</w:t>
      </w:r>
      <w:r w:rsidR="00A17052" w:rsidRPr="00643C95">
        <w:rPr>
          <w:sz w:val="28"/>
          <w:szCs w:val="24"/>
        </w:rPr>
        <w:t xml:space="preserve"> broadly</w:t>
      </w:r>
      <w:r w:rsidRPr="00643C95">
        <w:rPr>
          <w:sz w:val="28"/>
          <w:szCs w:val="24"/>
        </w:rPr>
        <w:t xml:space="preserve">. Madison in fact </w:t>
      </w:r>
      <w:r w:rsidRPr="00643C95">
        <w:rPr>
          <w:sz w:val="28"/>
          <w:szCs w:val="24"/>
        </w:rPr>
        <w:lastRenderedPageBreak/>
        <w:t>believed that it allowed the President to be tried “for any act which might be called a misdemeanor.”</w:t>
      </w:r>
      <w:r w:rsidRPr="00643C95">
        <w:rPr>
          <w:rStyle w:val="NoterefInText"/>
          <w:sz w:val="18"/>
        </w:rPr>
        <w:footnoteReference w:id="20"/>
      </w:r>
      <w:r w:rsidRPr="00643C95">
        <w:rPr>
          <w:sz w:val="28"/>
          <w:szCs w:val="24"/>
        </w:rPr>
        <w:t xml:space="preserve"> Indeed, while </w:t>
      </w:r>
      <w:r w:rsidR="00786B27" w:rsidRPr="00643C95">
        <w:rPr>
          <w:sz w:val="28"/>
          <w:szCs w:val="24"/>
        </w:rPr>
        <w:t>debate remains</w:t>
      </w:r>
      <w:r w:rsidRPr="00643C95">
        <w:rPr>
          <w:sz w:val="28"/>
          <w:szCs w:val="24"/>
        </w:rPr>
        <w:t xml:space="preserve"> on how broadly the high crimes or misdemeanors basis should be read,</w:t>
      </w:r>
      <w:r w:rsidRPr="00643C95">
        <w:rPr>
          <w:rStyle w:val="NoterefInText"/>
          <w:sz w:val="18"/>
        </w:rPr>
        <w:footnoteReference w:id="21"/>
      </w:r>
      <w:r w:rsidRPr="00643C95">
        <w:rPr>
          <w:sz w:val="28"/>
          <w:szCs w:val="24"/>
        </w:rPr>
        <w:t xml:space="preserve"> even </w:t>
      </w:r>
      <w:r w:rsidR="009B2A6C" w:rsidRPr="00643C95">
        <w:rPr>
          <w:sz w:val="28"/>
          <w:szCs w:val="24"/>
        </w:rPr>
        <w:t xml:space="preserve">a </w:t>
      </w:r>
      <w:r w:rsidRPr="00643C95">
        <w:rPr>
          <w:sz w:val="28"/>
          <w:szCs w:val="24"/>
        </w:rPr>
        <w:t xml:space="preserve">narrow reading of the clause allows for impeachment for a host of wrongs in a </w:t>
      </w:r>
      <w:r w:rsidR="00024801" w:rsidRPr="00643C95">
        <w:rPr>
          <w:sz w:val="28"/>
          <w:szCs w:val="24"/>
        </w:rPr>
        <w:t>variety</w:t>
      </w:r>
      <w:r w:rsidRPr="00643C95">
        <w:rPr>
          <w:sz w:val="28"/>
          <w:szCs w:val="24"/>
        </w:rPr>
        <w:t xml:space="preserve"> of settings:</w:t>
      </w:r>
    </w:p>
    <w:p w14:paraId="06ABF57D" w14:textId="0B632996" w:rsidR="00CD65AE" w:rsidRPr="00643C95" w:rsidRDefault="00227641" w:rsidP="00CD65AE">
      <w:pPr>
        <w:pStyle w:val="1StQuoteTXT"/>
        <w:rPr>
          <w:sz w:val="24"/>
        </w:rPr>
      </w:pPr>
      <w:r w:rsidRPr="00643C95">
        <w:rPr>
          <w:sz w:val="24"/>
        </w:rPr>
        <w:t>[A]</w:t>
      </w:r>
      <w:r w:rsidR="00CD65AE" w:rsidRPr="00643C95">
        <w:rPr>
          <w:sz w:val="24"/>
        </w:rPr>
        <w:t xml:space="preserve"> standard that the framers intentionally set at this extraordinarily high level to ensure that only the most serious offenses and </w:t>
      </w:r>
      <w:proofErr w:type="gramStart"/>
      <w:r w:rsidR="00CD65AE" w:rsidRPr="00643C95">
        <w:rPr>
          <w:sz w:val="24"/>
        </w:rPr>
        <w:t>in particular those</w:t>
      </w:r>
      <w:proofErr w:type="gramEnd"/>
      <w:r w:rsidR="00CD65AE" w:rsidRPr="00643C95">
        <w:rPr>
          <w:sz w:val="24"/>
        </w:rPr>
        <w:t xml:space="preserve"> that subverted our system of government would justify overturning a popular election. Impeachment is not a remedy for private wrongs. It is a method of removing someone whose continued presence in office would cause grave danger to the Nation.</w:t>
      </w:r>
      <w:r w:rsidR="00CD65AE" w:rsidRPr="00643C95">
        <w:rPr>
          <w:rStyle w:val="NoterefInText"/>
          <w:sz w:val="18"/>
        </w:rPr>
        <w:footnoteReference w:id="22"/>
      </w:r>
    </w:p>
    <w:p w14:paraId="0DF56AB8" w14:textId="2C64BCC8" w:rsidR="00CD65AE" w:rsidRPr="00643C95" w:rsidRDefault="00CD65AE" w:rsidP="00CD65AE">
      <w:pPr>
        <w:pStyle w:val="Document"/>
        <w:widowControl w:val="0"/>
        <w:ind w:firstLine="446"/>
        <w:rPr>
          <w:sz w:val="28"/>
        </w:rPr>
      </w:pPr>
      <w:r w:rsidRPr="00643C95">
        <w:rPr>
          <w:sz w:val="28"/>
          <w:szCs w:val="24"/>
        </w:rPr>
        <w:t>The weight of scholarly authority recognize</w:t>
      </w:r>
      <w:r w:rsidR="00CB6128" w:rsidRPr="00643C95">
        <w:rPr>
          <w:sz w:val="28"/>
          <w:szCs w:val="24"/>
        </w:rPr>
        <w:t>s</w:t>
      </w:r>
      <w:r w:rsidRPr="00643C95">
        <w:rPr>
          <w:sz w:val="28"/>
          <w:szCs w:val="24"/>
        </w:rPr>
        <w:t xml:space="preserve"> the “high Crime and Misdemeanors” Clause should be interpreted to address serious wrongs, but ultimately those wrongs can arise in a wide variety of ways.</w:t>
      </w:r>
      <w:r w:rsidRPr="00643C95">
        <w:rPr>
          <w:rStyle w:val="NoterefInText"/>
          <w:sz w:val="18"/>
        </w:rPr>
        <w:footnoteReference w:id="23"/>
      </w:r>
      <w:r w:rsidRPr="00643C95">
        <w:rPr>
          <w:sz w:val="28"/>
          <w:szCs w:val="24"/>
        </w:rPr>
        <w:t xml:space="preserve"> As one scholar observed, Congressional practice confirms that “</w:t>
      </w:r>
      <w:r w:rsidRPr="00643C95">
        <w:rPr>
          <w:bCs/>
          <w:sz w:val="28"/>
          <w:szCs w:val="24"/>
        </w:rPr>
        <w:t>high</w:t>
      </w:r>
      <w:r w:rsidRPr="00643C95">
        <w:rPr>
          <w:sz w:val="28"/>
          <w:szCs w:val="24"/>
        </w:rPr>
        <w:t xml:space="preserve"> </w:t>
      </w:r>
      <w:r w:rsidRPr="00643C95">
        <w:rPr>
          <w:bCs/>
          <w:sz w:val="28"/>
          <w:szCs w:val="24"/>
        </w:rPr>
        <w:t>Crimes</w:t>
      </w:r>
      <w:r w:rsidRPr="00643C95">
        <w:rPr>
          <w:sz w:val="28"/>
          <w:szCs w:val="24"/>
        </w:rPr>
        <w:t xml:space="preserve"> </w:t>
      </w:r>
      <w:r w:rsidRPr="00643C95">
        <w:rPr>
          <w:bCs/>
          <w:sz w:val="28"/>
          <w:szCs w:val="24"/>
        </w:rPr>
        <w:t>and</w:t>
      </w:r>
      <w:r w:rsidRPr="00643C95">
        <w:rPr>
          <w:sz w:val="28"/>
          <w:szCs w:val="24"/>
        </w:rPr>
        <w:t xml:space="preserve"> </w:t>
      </w:r>
      <w:r w:rsidRPr="00643C95">
        <w:rPr>
          <w:bCs/>
          <w:sz w:val="28"/>
          <w:szCs w:val="24"/>
        </w:rPr>
        <w:t>Misdemeanors</w:t>
      </w:r>
      <w:r w:rsidRPr="00643C95">
        <w:rPr>
          <w:sz w:val="28"/>
          <w:szCs w:val="24"/>
        </w:rPr>
        <w:t xml:space="preserve">” is </w:t>
      </w:r>
      <w:r w:rsidRPr="00643C95">
        <w:rPr>
          <w:bCs/>
          <w:sz w:val="28"/>
          <w:szCs w:val="24"/>
        </w:rPr>
        <w:t>broad</w:t>
      </w:r>
      <w:r w:rsidRPr="00643C95">
        <w:rPr>
          <w:sz w:val="28"/>
          <w:szCs w:val="24"/>
        </w:rPr>
        <w:t xml:space="preserve"> enough in scope to reach all misconduct that undermines fitness to serve.</w:t>
      </w:r>
      <w:r w:rsidRPr="00643C95">
        <w:rPr>
          <w:rStyle w:val="NoterefInText"/>
          <w:sz w:val="18"/>
        </w:rPr>
        <w:footnoteReference w:id="24"/>
      </w:r>
      <w:r w:rsidRPr="00643C95">
        <w:rPr>
          <w:sz w:val="28"/>
          <w:szCs w:val="24"/>
        </w:rPr>
        <w:t xml:space="preserve"> Professor Stephen Presser, a leading scholar on this constitutional provision, for instance, </w:t>
      </w:r>
      <w:r w:rsidR="00651AEA" w:rsidRPr="00643C95">
        <w:rPr>
          <w:sz w:val="28"/>
          <w:szCs w:val="24"/>
        </w:rPr>
        <w:t>agreed with</w:t>
      </w:r>
      <w:r w:rsidRPr="00643C95">
        <w:rPr>
          <w:sz w:val="28"/>
          <w:szCs w:val="24"/>
        </w:rPr>
        <w:t xml:space="preserve"> Gerald Ford’s famous suggestion that </w:t>
      </w:r>
      <w:r w:rsidR="002E4307" w:rsidRPr="00643C95">
        <w:rPr>
          <w:sz w:val="28"/>
          <w:szCs w:val="24"/>
        </w:rPr>
        <w:t>“</w:t>
      </w:r>
      <w:r w:rsidRPr="00643C95">
        <w:rPr>
          <w:bCs/>
          <w:sz w:val="28"/>
          <w:szCs w:val="24"/>
        </w:rPr>
        <w:t>high</w:t>
      </w:r>
      <w:r w:rsidRPr="00643C95">
        <w:rPr>
          <w:sz w:val="28"/>
          <w:szCs w:val="24"/>
        </w:rPr>
        <w:t xml:space="preserve"> C</w:t>
      </w:r>
      <w:r w:rsidRPr="00643C95">
        <w:rPr>
          <w:bCs/>
          <w:sz w:val="28"/>
          <w:szCs w:val="24"/>
        </w:rPr>
        <w:t>rimes</w:t>
      </w:r>
      <w:r w:rsidRPr="00643C95">
        <w:rPr>
          <w:sz w:val="28"/>
          <w:szCs w:val="24"/>
        </w:rPr>
        <w:t xml:space="preserve"> </w:t>
      </w:r>
      <w:r w:rsidRPr="00643C95">
        <w:rPr>
          <w:bCs/>
          <w:sz w:val="28"/>
          <w:szCs w:val="24"/>
        </w:rPr>
        <w:t>and</w:t>
      </w:r>
      <w:r w:rsidRPr="00643C95">
        <w:rPr>
          <w:sz w:val="28"/>
          <w:szCs w:val="24"/>
        </w:rPr>
        <w:t xml:space="preserve"> </w:t>
      </w:r>
      <w:r w:rsidRPr="00643C95">
        <w:rPr>
          <w:bCs/>
          <w:sz w:val="28"/>
          <w:szCs w:val="24"/>
        </w:rPr>
        <w:t>Misdemeanors</w:t>
      </w:r>
      <w:r w:rsidR="002E4307" w:rsidRPr="00643C95">
        <w:rPr>
          <w:sz w:val="28"/>
          <w:szCs w:val="24"/>
        </w:rPr>
        <w:t>”</w:t>
      </w:r>
      <w:r w:rsidRPr="00643C95">
        <w:rPr>
          <w:sz w:val="28"/>
          <w:szCs w:val="24"/>
        </w:rPr>
        <w:t xml:space="preserve"> means anything the House of Representatives wants it to mean</w:t>
      </w:r>
      <w:r w:rsidR="00651AEA" w:rsidRPr="00643C95">
        <w:rPr>
          <w:sz w:val="28"/>
          <w:szCs w:val="24"/>
        </w:rPr>
        <w:t xml:space="preserve"> when arguing that the provision</w:t>
      </w:r>
      <w:r w:rsidRPr="00643C95">
        <w:rPr>
          <w:sz w:val="28"/>
          <w:szCs w:val="24"/>
        </w:rPr>
        <w:t xml:space="preserve"> reflect</w:t>
      </w:r>
      <w:r w:rsidR="008B12AC" w:rsidRPr="00643C95">
        <w:rPr>
          <w:sz w:val="28"/>
          <w:szCs w:val="24"/>
        </w:rPr>
        <w:t>s</w:t>
      </w:r>
      <w:r w:rsidRPr="00643C95">
        <w:rPr>
          <w:sz w:val="28"/>
          <w:szCs w:val="24"/>
        </w:rPr>
        <w:t xml:space="preserve"> the essential notion that the Constitution confers </w:t>
      </w:r>
      <w:r w:rsidRPr="00643C95">
        <w:rPr>
          <w:bCs/>
          <w:sz w:val="28"/>
          <w:szCs w:val="24"/>
        </w:rPr>
        <w:t xml:space="preserve">broad </w:t>
      </w:r>
      <w:r w:rsidRPr="00643C95">
        <w:rPr>
          <w:sz w:val="28"/>
          <w:szCs w:val="24"/>
        </w:rPr>
        <w:t>discretion on the House of Representatives to make up its own mind about what kinds of conduct should lead to an impeachment proceeding</w:t>
      </w:r>
      <w:r w:rsidR="008B12AC" w:rsidRPr="00643C95">
        <w:rPr>
          <w:sz w:val="28"/>
          <w:szCs w:val="24"/>
        </w:rPr>
        <w:t>.</w:t>
      </w:r>
      <w:r w:rsidRPr="00643C95">
        <w:rPr>
          <w:sz w:val="28"/>
          <w:szCs w:val="24"/>
        </w:rPr>
        <w:t xml:space="preserve"> </w:t>
      </w:r>
      <w:r w:rsidR="008B12AC" w:rsidRPr="00643C95">
        <w:rPr>
          <w:sz w:val="28"/>
          <w:szCs w:val="24"/>
        </w:rPr>
        <w:t>“</w:t>
      </w:r>
      <w:r w:rsidRPr="00643C95">
        <w:rPr>
          <w:sz w:val="28"/>
          <w:szCs w:val="24"/>
        </w:rPr>
        <w:t>[W]</w:t>
      </w:r>
      <w:proofErr w:type="spellStart"/>
      <w:r w:rsidRPr="00643C95">
        <w:rPr>
          <w:sz w:val="28"/>
          <w:szCs w:val="24"/>
        </w:rPr>
        <w:t>hile</w:t>
      </w:r>
      <w:proofErr w:type="spellEnd"/>
      <w:r w:rsidRPr="00643C95">
        <w:rPr>
          <w:sz w:val="28"/>
          <w:szCs w:val="24"/>
        </w:rPr>
        <w:t xml:space="preserve"> giving members of Congress discretion to determine whether a particular act or series of acts amounts to grounds for impeachment, [the Constitution] requires them to move forward to impeach if they determine there are such acts.”</w:t>
      </w:r>
      <w:r w:rsidRPr="00643C95">
        <w:rPr>
          <w:rStyle w:val="NoterefInText"/>
          <w:sz w:val="18"/>
        </w:rPr>
        <w:footnoteReference w:id="25"/>
      </w:r>
      <w:r w:rsidRPr="00643C95">
        <w:rPr>
          <w:sz w:val="28"/>
          <w:szCs w:val="24"/>
        </w:rPr>
        <w:t xml:space="preserve"> Professor Gary L. McDowell, similarly found, “</w:t>
      </w:r>
      <w:r w:rsidR="006F4F35" w:rsidRPr="00643C95">
        <w:rPr>
          <w:sz w:val="28"/>
          <w:szCs w:val="24"/>
        </w:rPr>
        <w:t>[</w:t>
      </w:r>
      <w:proofErr w:type="spellStart"/>
      <w:r w:rsidR="006F4F35" w:rsidRPr="00643C95">
        <w:rPr>
          <w:sz w:val="28"/>
          <w:szCs w:val="24"/>
        </w:rPr>
        <w:t>i</w:t>
      </w:r>
      <w:proofErr w:type="spellEnd"/>
      <w:r w:rsidR="006F4F35" w:rsidRPr="00643C95">
        <w:rPr>
          <w:sz w:val="28"/>
          <w:szCs w:val="24"/>
        </w:rPr>
        <w:t>]</w:t>
      </w:r>
      <w:r w:rsidRPr="00643C95">
        <w:rPr>
          <w:sz w:val="28"/>
          <w:szCs w:val="24"/>
        </w:rPr>
        <w:t xml:space="preserve">n the end, the determination of whether presidential misconduct rises to the level of ‘high Crimes and Misdemeanors,’ as used by the Framers, is left to the discretion and deliberation of the House of Representatives. No small part of that </w:t>
      </w:r>
      <w:proofErr w:type="gramStart"/>
      <w:r w:rsidRPr="00643C95">
        <w:rPr>
          <w:sz w:val="28"/>
          <w:szCs w:val="24"/>
        </w:rPr>
        <w:t>deliberation</w:t>
      </w:r>
      <w:r w:rsidR="00AA19DA" w:rsidRPr="00643C95">
        <w:rPr>
          <w:sz w:val="28"/>
          <w:szCs w:val="24"/>
        </w:rPr>
        <w:t xml:space="preserve"> </w:t>
      </w:r>
      <w:r w:rsidRPr="00643C95">
        <w:rPr>
          <w:sz w:val="28"/>
          <w:szCs w:val="24"/>
        </w:rPr>
        <w:t>.</w:t>
      </w:r>
      <w:proofErr w:type="gramEnd"/>
      <w:r w:rsidRPr="00643C95">
        <w:rPr>
          <w:sz w:val="28"/>
          <w:szCs w:val="24"/>
        </w:rPr>
        <w:t xml:space="preserve"> . . must address what effect the exercise of this extraordinary </w:t>
      </w:r>
      <w:r w:rsidRPr="00643C95">
        <w:rPr>
          <w:sz w:val="28"/>
          <w:szCs w:val="24"/>
        </w:rPr>
        <w:lastRenderedPageBreak/>
        <w:t xml:space="preserve">constitutional sanction would have on the health of the </w:t>
      </w:r>
      <w:r w:rsidR="00786B27" w:rsidRPr="00643C95">
        <w:rPr>
          <w:sz w:val="28"/>
          <w:szCs w:val="24"/>
        </w:rPr>
        <w:t>Republic</w:t>
      </w:r>
      <w:r w:rsidR="002C7A7B" w:rsidRPr="00643C95">
        <w:rPr>
          <w:sz w:val="28"/>
          <w:szCs w:val="24"/>
        </w:rPr>
        <w:t xml:space="preserve"> . . . </w:t>
      </w:r>
      <w:r w:rsidR="00786B27" w:rsidRPr="00643C95">
        <w:rPr>
          <w:sz w:val="28"/>
          <w:szCs w:val="24"/>
        </w:rPr>
        <w:t>.</w:t>
      </w:r>
      <w:r w:rsidRPr="00643C95">
        <w:rPr>
          <w:sz w:val="28"/>
          <w:szCs w:val="24"/>
        </w:rPr>
        <w:t>”</w:t>
      </w:r>
      <w:r w:rsidRPr="00643C95">
        <w:rPr>
          <w:rStyle w:val="NoterefInText"/>
          <w:sz w:val="18"/>
        </w:rPr>
        <w:footnoteReference w:id="26"/>
      </w:r>
      <w:r w:rsidRPr="00643C95">
        <w:rPr>
          <w:sz w:val="28"/>
          <w:szCs w:val="24"/>
        </w:rPr>
        <w:t xml:space="preserve"> Imminent constitutional scholar, Professor Cass R. Sunstein, likewise observed: “[t]</w:t>
      </w:r>
      <w:proofErr w:type="spellStart"/>
      <w:r w:rsidRPr="00643C95">
        <w:rPr>
          <w:sz w:val="28"/>
          <w:szCs w:val="24"/>
        </w:rPr>
        <w:t>ext</w:t>
      </w:r>
      <w:proofErr w:type="spellEnd"/>
      <w:r w:rsidRPr="00643C95">
        <w:rPr>
          <w:sz w:val="28"/>
          <w:szCs w:val="24"/>
        </w:rPr>
        <w:t>, history, and longstanding practice suggest that the notion of ‘high Crimes and Misdemeanors’ should generally be understood to refer to large-scale abuses that involve the authority that comes from occupying a particular public office.”</w:t>
      </w:r>
      <w:r w:rsidRPr="00643C95">
        <w:rPr>
          <w:rStyle w:val="NoterefInText"/>
          <w:sz w:val="18"/>
        </w:rPr>
        <w:footnoteReference w:id="27"/>
      </w:r>
    </w:p>
    <w:p w14:paraId="7EE73D52" w14:textId="0A31A027" w:rsidR="001E5658" w:rsidRPr="00643C95" w:rsidRDefault="00CD65AE" w:rsidP="00C4759C">
      <w:pPr>
        <w:pStyle w:val="Document"/>
        <w:widowControl w:val="0"/>
        <w:ind w:firstLine="446"/>
        <w:rPr>
          <w:sz w:val="28"/>
          <w:szCs w:val="24"/>
        </w:rPr>
      </w:pPr>
      <w:r w:rsidRPr="00643C95">
        <w:rPr>
          <w:sz w:val="28"/>
          <w:szCs w:val="24"/>
        </w:rPr>
        <w:t>Dershowitz spends no time addressing either th</w:t>
      </w:r>
      <w:r w:rsidR="002448F7" w:rsidRPr="00643C95">
        <w:rPr>
          <w:sz w:val="28"/>
          <w:szCs w:val="24"/>
        </w:rPr>
        <w:t>is</w:t>
      </w:r>
      <w:r w:rsidRPr="00643C95">
        <w:rPr>
          <w:sz w:val="28"/>
          <w:szCs w:val="24"/>
        </w:rPr>
        <w:t xml:space="preserve"> legislative history or scholarly analysis. Instead of contending with the bulk of authority on the matter, he employs a tried and true lawyerly tact: instead of defending a difficult position, it is far easier and perhaps at times more persuasive to go the offensive and attack the position of others that take a differing view. Indeed, instead of examining the case law explaining and interpreting “other high Crimes or Misdemeanors,” which he briefly undertakes with respect to the bribery cases, Dershowitz proceeds to attack “the most extreme and reductionist” defenses of a broad reading of the high crimes and misdemeanor basis.</w:t>
      </w:r>
      <w:r w:rsidRPr="00643C95">
        <w:rPr>
          <w:rStyle w:val="NoterefInText"/>
          <w:sz w:val="18"/>
        </w:rPr>
        <w:footnoteReference w:id="28"/>
      </w:r>
      <w:r w:rsidRPr="00643C95">
        <w:rPr>
          <w:sz w:val="28"/>
          <w:szCs w:val="24"/>
        </w:rPr>
        <w:t xml:space="preserve"> Yet, even under the tenets of his own textualist philosophy, </w:t>
      </w:r>
      <w:r w:rsidR="008B12AC" w:rsidRPr="00643C95">
        <w:rPr>
          <w:sz w:val="28"/>
          <w:szCs w:val="24"/>
        </w:rPr>
        <w:t>his argument</w:t>
      </w:r>
      <w:r w:rsidRPr="00643C95">
        <w:rPr>
          <w:sz w:val="28"/>
          <w:szCs w:val="24"/>
        </w:rPr>
        <w:t xml:space="preserve"> fails. Under </w:t>
      </w:r>
      <w:r w:rsidR="002B61B6" w:rsidRPr="00643C95">
        <w:rPr>
          <w:sz w:val="28"/>
          <w:szCs w:val="24"/>
        </w:rPr>
        <w:t>a textualist approach</w:t>
      </w:r>
      <w:r w:rsidRPr="00643C95">
        <w:rPr>
          <w:sz w:val="28"/>
          <w:szCs w:val="24"/>
        </w:rPr>
        <w:t>, recourse to the ‘legislative history’ or intended ‘original meaning’ is inappropriate when the words are unambiguous. The plain meaning under such circumstances must prevail over all other interpretative mechanisms, since it was the word, not the intentions behind them, that were voted on and accepted. But even under a textualist approach, if the text is ambiguous</w:t>
      </w:r>
      <w:r w:rsidR="00F8456F" w:rsidRPr="00643C95">
        <w:rPr>
          <w:sz w:val="28"/>
          <w:szCs w:val="24"/>
        </w:rPr>
        <w:t>—</w:t>
      </w:r>
      <w:r w:rsidRPr="00643C95">
        <w:rPr>
          <w:sz w:val="28"/>
          <w:szCs w:val="24"/>
        </w:rPr>
        <w:t>and the high crimes and misdemeanor language is far from unambiguous</w:t>
      </w:r>
      <w:r w:rsidR="00F8456F" w:rsidRPr="00643C95">
        <w:rPr>
          <w:sz w:val="28"/>
          <w:szCs w:val="24"/>
        </w:rPr>
        <w:t>—</w:t>
      </w:r>
      <w:r w:rsidRPr="00643C95">
        <w:rPr>
          <w:sz w:val="28"/>
          <w:szCs w:val="24"/>
        </w:rPr>
        <w:t>further inquiry</w:t>
      </w:r>
      <w:r w:rsidR="00F8456F" w:rsidRPr="00643C95">
        <w:rPr>
          <w:sz w:val="28"/>
          <w:szCs w:val="24"/>
        </w:rPr>
        <w:t xml:space="preserve"> is necessary</w:t>
      </w:r>
      <w:r w:rsidRPr="00643C95">
        <w:rPr>
          <w:sz w:val="28"/>
          <w:szCs w:val="24"/>
        </w:rPr>
        <w:t xml:space="preserve">, particularly </w:t>
      </w:r>
      <w:r w:rsidR="00F8456F" w:rsidRPr="00643C95">
        <w:rPr>
          <w:sz w:val="28"/>
          <w:szCs w:val="24"/>
        </w:rPr>
        <w:t xml:space="preserve">into </w:t>
      </w:r>
      <w:r w:rsidRPr="00643C95">
        <w:rPr>
          <w:sz w:val="28"/>
          <w:szCs w:val="24"/>
        </w:rPr>
        <w:t>the Framer</w:t>
      </w:r>
      <w:r w:rsidR="00F8456F" w:rsidRPr="00643C95">
        <w:rPr>
          <w:sz w:val="28"/>
          <w:szCs w:val="24"/>
        </w:rPr>
        <w:t>’</w:t>
      </w:r>
      <w:r w:rsidRPr="00643C95">
        <w:rPr>
          <w:sz w:val="28"/>
          <w:szCs w:val="24"/>
        </w:rPr>
        <w:t>s inten</w:t>
      </w:r>
      <w:r w:rsidR="00F8456F" w:rsidRPr="00643C95">
        <w:rPr>
          <w:sz w:val="28"/>
          <w:szCs w:val="24"/>
        </w:rPr>
        <w:t>t</w:t>
      </w:r>
      <w:r w:rsidRPr="00643C95">
        <w:rPr>
          <w:sz w:val="28"/>
          <w:szCs w:val="24"/>
        </w:rPr>
        <w:t>.</w:t>
      </w:r>
      <w:r w:rsidRPr="00643C95">
        <w:rPr>
          <w:rStyle w:val="NoterefInText"/>
          <w:sz w:val="18"/>
        </w:rPr>
        <w:footnoteReference w:id="29"/>
      </w:r>
      <w:r w:rsidRPr="00643C95">
        <w:rPr>
          <w:sz w:val="28"/>
          <w:szCs w:val="24"/>
        </w:rPr>
        <w:t xml:space="preserve"> It is here where the book’s analysis is weakest because Dershowitz fails to accept the value of further inquiry when text is ambiguous. </w:t>
      </w:r>
      <w:r w:rsidR="00F8456F" w:rsidRPr="00643C95">
        <w:rPr>
          <w:sz w:val="28"/>
          <w:szCs w:val="24"/>
        </w:rPr>
        <w:t xml:space="preserve">Thus, a </w:t>
      </w:r>
      <w:r w:rsidRPr="00643C95">
        <w:rPr>
          <w:sz w:val="28"/>
          <w:szCs w:val="24"/>
        </w:rPr>
        <w:t>reader is left with a</w:t>
      </w:r>
      <w:r w:rsidR="00F8456F" w:rsidRPr="00643C95">
        <w:rPr>
          <w:sz w:val="28"/>
          <w:szCs w:val="24"/>
        </w:rPr>
        <w:t xml:space="preserve"> scant</w:t>
      </w:r>
      <w:r w:rsidRPr="00643C95">
        <w:rPr>
          <w:sz w:val="28"/>
          <w:szCs w:val="24"/>
        </w:rPr>
        <w:t xml:space="preserve"> interpretation,</w:t>
      </w:r>
      <w:r w:rsidR="00F8456F" w:rsidRPr="00643C95">
        <w:rPr>
          <w:sz w:val="28"/>
          <w:szCs w:val="24"/>
        </w:rPr>
        <w:t xml:space="preserve"> </w:t>
      </w:r>
      <w:r w:rsidRPr="00643C95">
        <w:rPr>
          <w:sz w:val="28"/>
          <w:szCs w:val="24"/>
        </w:rPr>
        <w:t>lacking any significant legal reinforcement.</w:t>
      </w:r>
    </w:p>
    <w:p w14:paraId="53E9250B" w14:textId="6C74232B" w:rsidR="00CD65AE" w:rsidRPr="00643C95" w:rsidRDefault="00CD65AE" w:rsidP="00CD65AE">
      <w:pPr>
        <w:pStyle w:val="Document"/>
        <w:widowControl w:val="0"/>
        <w:ind w:firstLine="446"/>
        <w:rPr>
          <w:sz w:val="28"/>
        </w:rPr>
      </w:pPr>
      <w:r w:rsidRPr="00643C95">
        <w:rPr>
          <w:sz w:val="28"/>
          <w:szCs w:val="24"/>
        </w:rPr>
        <w:t xml:space="preserve">In terms of President Trump’s potential impeachment, Dershowitz, somewhat unsurprisingly argues that impeachment would be inappropriate because the alleged wrongs purportedly committed by President Trump </w:t>
      </w:r>
      <w:r w:rsidR="00AA4C9D" w:rsidRPr="00643C95">
        <w:rPr>
          <w:sz w:val="28"/>
          <w:szCs w:val="24"/>
        </w:rPr>
        <w:t xml:space="preserve">involve </w:t>
      </w:r>
      <w:r w:rsidRPr="00643C95">
        <w:rPr>
          <w:sz w:val="28"/>
          <w:szCs w:val="24"/>
        </w:rPr>
        <w:t>neither treason nor bribery—two of his legitimate enumerated wrongs under Article II’s Impeachment Clause.</w:t>
      </w:r>
      <w:r w:rsidRPr="00643C95">
        <w:rPr>
          <w:rStyle w:val="NoterefInText"/>
          <w:sz w:val="18"/>
        </w:rPr>
        <w:footnoteReference w:id="30"/>
      </w:r>
      <w:r w:rsidRPr="00643C95">
        <w:rPr>
          <w:sz w:val="28"/>
          <w:szCs w:val="24"/>
        </w:rPr>
        <w:t xml:space="preserve"> While </w:t>
      </w:r>
      <w:r w:rsidR="008B12AC" w:rsidRPr="00643C95">
        <w:rPr>
          <w:sz w:val="28"/>
          <w:szCs w:val="24"/>
        </w:rPr>
        <w:t>Dershowitz</w:t>
      </w:r>
      <w:r w:rsidRPr="00643C95">
        <w:rPr>
          <w:sz w:val="28"/>
          <w:szCs w:val="24"/>
        </w:rPr>
        <w:t xml:space="preserve"> may be </w:t>
      </w:r>
      <w:r w:rsidRPr="00643C95">
        <w:rPr>
          <w:sz w:val="28"/>
          <w:szCs w:val="24"/>
        </w:rPr>
        <w:lastRenderedPageBreak/>
        <w:t>correct that any charges or claims against President Trump may not involve bribery, there are growing calls arguing President Trump has in fact committed treason.</w:t>
      </w:r>
      <w:r w:rsidRPr="00643C95">
        <w:rPr>
          <w:rStyle w:val="NoterefInText"/>
          <w:sz w:val="18"/>
        </w:rPr>
        <w:footnoteReference w:id="31"/>
      </w:r>
      <w:r w:rsidRPr="00643C95">
        <w:rPr>
          <w:sz w:val="28"/>
          <w:szCs w:val="24"/>
        </w:rPr>
        <w:t xml:space="preserve"> Perhaps more importantly, Dershowitz’s primary analytical flaw is that he simply ignores the text of the Constitution, its interpretation in terms of legislative history, and case</w:t>
      </w:r>
      <w:r w:rsidR="00782F9F" w:rsidRPr="00643C95">
        <w:rPr>
          <w:sz w:val="28"/>
          <w:szCs w:val="24"/>
        </w:rPr>
        <w:t xml:space="preserve"> </w:t>
      </w:r>
      <w:r w:rsidRPr="00643C95">
        <w:rPr>
          <w:sz w:val="28"/>
          <w:szCs w:val="24"/>
        </w:rPr>
        <w:t>law on the third impeachable basis under Article II’s Impeachment Clause: high crimes or misdemeanors.</w:t>
      </w:r>
    </w:p>
    <w:p w14:paraId="323EEF90" w14:textId="3E761677" w:rsidR="00CD65AE" w:rsidRPr="00643C95" w:rsidRDefault="00CD65AE" w:rsidP="00CD65AE">
      <w:pPr>
        <w:pStyle w:val="Document"/>
        <w:widowControl w:val="0"/>
        <w:ind w:firstLine="446"/>
        <w:rPr>
          <w:sz w:val="28"/>
        </w:rPr>
      </w:pPr>
      <w:r w:rsidRPr="00643C95">
        <w:rPr>
          <w:sz w:val="28"/>
          <w:szCs w:val="24"/>
        </w:rPr>
        <w:t xml:space="preserve">In the end, </w:t>
      </w:r>
      <w:r w:rsidR="008B12AC" w:rsidRPr="00643C95">
        <w:rPr>
          <w:sz w:val="28"/>
          <w:szCs w:val="24"/>
        </w:rPr>
        <w:t>Dershowitz</w:t>
      </w:r>
      <w:r w:rsidRPr="00643C95">
        <w:rPr>
          <w:sz w:val="28"/>
          <w:szCs w:val="24"/>
        </w:rPr>
        <w:t xml:space="preserve"> attempts to </w:t>
      </w:r>
      <w:r w:rsidR="009C026A" w:rsidRPr="00643C95">
        <w:rPr>
          <w:sz w:val="28"/>
          <w:szCs w:val="24"/>
        </w:rPr>
        <w:t>largely</w:t>
      </w:r>
      <w:r w:rsidRPr="00643C95">
        <w:rPr>
          <w:sz w:val="28"/>
          <w:szCs w:val="24"/>
        </w:rPr>
        <w:t xml:space="preserve"> ignore </w:t>
      </w:r>
      <w:r w:rsidR="009C026A" w:rsidRPr="00643C95">
        <w:rPr>
          <w:sz w:val="28"/>
          <w:szCs w:val="24"/>
        </w:rPr>
        <w:t>a</w:t>
      </w:r>
      <w:r w:rsidR="001E5658" w:rsidRPr="00643C95">
        <w:rPr>
          <w:sz w:val="28"/>
          <w:szCs w:val="24"/>
        </w:rPr>
        <w:t xml:space="preserve"> </w:t>
      </w:r>
      <w:r w:rsidR="009C026A" w:rsidRPr="00643C95">
        <w:rPr>
          <w:sz w:val="28"/>
          <w:szCs w:val="24"/>
        </w:rPr>
        <w:t>broad</w:t>
      </w:r>
      <w:r w:rsidR="001E5658" w:rsidRPr="00643C95">
        <w:rPr>
          <w:sz w:val="28"/>
          <w:szCs w:val="24"/>
        </w:rPr>
        <w:t xml:space="preserve"> </w:t>
      </w:r>
      <w:r w:rsidR="009C026A" w:rsidRPr="00643C95">
        <w:rPr>
          <w:sz w:val="28"/>
          <w:szCs w:val="24"/>
        </w:rPr>
        <w:t>reading</w:t>
      </w:r>
      <w:r w:rsidRPr="00643C95">
        <w:rPr>
          <w:sz w:val="28"/>
          <w:szCs w:val="24"/>
        </w:rPr>
        <w:t xml:space="preserve"> of “other high Crimes and Misdemeanors” either because he may appreciate they provide problems for his client,</w:t>
      </w:r>
      <w:r w:rsidRPr="00643C95">
        <w:rPr>
          <w:rStyle w:val="NoterefInText"/>
          <w:sz w:val="18"/>
        </w:rPr>
        <w:footnoteReference w:id="32"/>
      </w:r>
      <w:r w:rsidRPr="00643C95">
        <w:rPr>
          <w:sz w:val="28"/>
          <w:szCs w:val="24"/>
        </w:rPr>
        <w:t xml:space="preserve"> or following his stated reasons, such wrongs are not defined in Article </w:t>
      </w:r>
      <w:r w:rsidR="00105D81" w:rsidRPr="00643C95">
        <w:rPr>
          <w:sz w:val="28"/>
          <w:szCs w:val="24"/>
        </w:rPr>
        <w:t xml:space="preserve">II </w:t>
      </w:r>
      <w:r w:rsidRPr="00643C95">
        <w:rPr>
          <w:sz w:val="28"/>
          <w:szCs w:val="24"/>
        </w:rPr>
        <w:t>or other parts of the Constitution and there are no procedural requirements set forth for convictions of such crimes.</w:t>
      </w:r>
      <w:r w:rsidRPr="00643C95">
        <w:rPr>
          <w:rStyle w:val="NoterefInText"/>
          <w:sz w:val="18"/>
        </w:rPr>
        <w:footnoteReference w:id="33"/>
      </w:r>
      <w:r w:rsidRPr="00643C95">
        <w:rPr>
          <w:sz w:val="28"/>
          <w:szCs w:val="24"/>
        </w:rPr>
        <w:t xml:space="preserve"> Yet his stated reasons are supported with slight authority and scant analysis. Dershowitz’s analysis is accordingly incomplete, thereby allowing the professor to accept bribery as a legitimate ground for impeachment (even permitting him to look to the common law, ever so briefly, on bribery)</w:t>
      </w:r>
      <w:r w:rsidR="00105D81" w:rsidRPr="00643C95">
        <w:rPr>
          <w:sz w:val="28"/>
          <w:szCs w:val="24"/>
        </w:rPr>
        <w:t>,</w:t>
      </w:r>
      <w:r w:rsidRPr="00643C95">
        <w:rPr>
          <w:sz w:val="28"/>
          <w:szCs w:val="24"/>
        </w:rPr>
        <w:t xml:space="preserve"> but in almost the same breath, he refuses to examine the legislative history of the Constitution, the common law, or the weight of authority on the high crimes or misdemeanor basis for impeachment. Any of these inquiries would have </w:t>
      </w:r>
      <w:r w:rsidR="00AA4C9D" w:rsidRPr="00643C95">
        <w:rPr>
          <w:sz w:val="28"/>
          <w:szCs w:val="24"/>
        </w:rPr>
        <w:t xml:space="preserve">provided </w:t>
      </w:r>
      <w:r w:rsidR="00544395" w:rsidRPr="00643C95">
        <w:rPr>
          <w:sz w:val="28"/>
          <w:szCs w:val="24"/>
        </w:rPr>
        <w:t xml:space="preserve">not only </w:t>
      </w:r>
      <w:r w:rsidRPr="00643C95">
        <w:rPr>
          <w:sz w:val="28"/>
          <w:szCs w:val="24"/>
        </w:rPr>
        <w:t xml:space="preserve">a more thoughtful undertaking, </w:t>
      </w:r>
      <w:r w:rsidR="00742BE0" w:rsidRPr="00643C95">
        <w:rPr>
          <w:sz w:val="28"/>
          <w:szCs w:val="24"/>
        </w:rPr>
        <w:t>but also</w:t>
      </w:r>
      <w:r w:rsidRPr="00643C95">
        <w:rPr>
          <w:sz w:val="28"/>
          <w:szCs w:val="24"/>
        </w:rPr>
        <w:t xml:space="preserve"> valuable guidance for interpreting the </w:t>
      </w:r>
      <w:r w:rsidR="00105D81" w:rsidRPr="00643C95">
        <w:rPr>
          <w:sz w:val="28"/>
          <w:szCs w:val="24"/>
        </w:rPr>
        <w:t xml:space="preserve">high </w:t>
      </w:r>
      <w:r w:rsidRPr="00643C95">
        <w:rPr>
          <w:sz w:val="28"/>
          <w:szCs w:val="24"/>
        </w:rPr>
        <w:t xml:space="preserve">crimes and misdemeanors basis for impeachment. It should not be forgotten, and he may himself point out, </w:t>
      </w:r>
      <w:r w:rsidR="00105D81" w:rsidRPr="00643C95">
        <w:rPr>
          <w:sz w:val="28"/>
          <w:szCs w:val="24"/>
        </w:rPr>
        <w:t xml:space="preserve">that </w:t>
      </w:r>
      <w:r w:rsidRPr="00643C95">
        <w:rPr>
          <w:sz w:val="28"/>
          <w:szCs w:val="24"/>
        </w:rPr>
        <w:t xml:space="preserve">he refuses to engage in an analysis </w:t>
      </w:r>
      <w:r w:rsidR="00105D81" w:rsidRPr="00643C95">
        <w:rPr>
          <w:sz w:val="28"/>
          <w:szCs w:val="24"/>
        </w:rPr>
        <w:t>that goes beyond</w:t>
      </w:r>
      <w:r w:rsidRPr="00643C95">
        <w:rPr>
          <w:sz w:val="28"/>
          <w:szCs w:val="24"/>
        </w:rPr>
        <w:t xml:space="preserve"> the text</w:t>
      </w:r>
      <w:r w:rsidR="00105D81" w:rsidRPr="00643C95">
        <w:rPr>
          <w:sz w:val="28"/>
          <w:szCs w:val="24"/>
        </w:rPr>
        <w:t>’s</w:t>
      </w:r>
      <w:r w:rsidRPr="00643C95">
        <w:rPr>
          <w:sz w:val="28"/>
          <w:szCs w:val="24"/>
        </w:rPr>
        <w:t xml:space="preserve"> “plain meaning</w:t>
      </w:r>
      <w:r w:rsidR="00105D81" w:rsidRPr="00643C95">
        <w:rPr>
          <w:sz w:val="28"/>
          <w:szCs w:val="24"/>
        </w:rPr>
        <w:t>.</w:t>
      </w:r>
      <w:r w:rsidRPr="00643C95">
        <w:rPr>
          <w:sz w:val="28"/>
          <w:szCs w:val="24"/>
        </w:rPr>
        <w:t>” However, in his own words, “‘other Crimes and Misdemeanors’ are not defined.”</w:t>
      </w:r>
      <w:r w:rsidR="00105D81" w:rsidRPr="00643C95">
        <w:rPr>
          <w:rStyle w:val="NoterefInText"/>
          <w:sz w:val="18"/>
        </w:rPr>
        <w:footnoteReference w:id="34"/>
      </w:r>
      <w:r w:rsidRPr="00643C95">
        <w:rPr>
          <w:sz w:val="28"/>
          <w:szCs w:val="24"/>
        </w:rPr>
        <w:t xml:space="preserve"> So, according to his own preferred interpretive approach, we should not become inflexible and inexplicably resort to the plain meaning when there is textual ambiguity in this case. Not only will case</w:t>
      </w:r>
      <w:r w:rsidR="00A86D62" w:rsidRPr="00643C95">
        <w:rPr>
          <w:sz w:val="28"/>
          <w:szCs w:val="24"/>
        </w:rPr>
        <w:t xml:space="preserve"> </w:t>
      </w:r>
      <w:r w:rsidRPr="00643C95">
        <w:rPr>
          <w:sz w:val="28"/>
          <w:szCs w:val="24"/>
        </w:rPr>
        <w:t>law and legislative history analysis provide the reader with a more thoughtful undertaking, they are essential to understanding the text itself.</w:t>
      </w:r>
    </w:p>
    <w:p w14:paraId="3379359D" w14:textId="3B2DC0B5" w:rsidR="00CD65AE" w:rsidRPr="00643C95" w:rsidRDefault="00CD65AE" w:rsidP="00CD65AE">
      <w:pPr>
        <w:pStyle w:val="Document"/>
        <w:widowControl w:val="0"/>
        <w:ind w:firstLine="446"/>
        <w:rPr>
          <w:sz w:val="28"/>
        </w:rPr>
      </w:pPr>
      <w:r w:rsidRPr="00643C95">
        <w:rPr>
          <w:sz w:val="28"/>
          <w:szCs w:val="24"/>
        </w:rPr>
        <w:lastRenderedPageBreak/>
        <w:t>Ultimately,</w:t>
      </w:r>
      <w:r w:rsidR="00024801" w:rsidRPr="00643C95">
        <w:rPr>
          <w:sz w:val="28"/>
          <w:szCs w:val="24"/>
        </w:rPr>
        <w:t xml:space="preserve"> in</w:t>
      </w:r>
      <w:r w:rsidRPr="00643C95">
        <w:rPr>
          <w:sz w:val="28"/>
          <w:szCs w:val="24"/>
        </w:rPr>
        <w:t xml:space="preserve"> what appears to be </w:t>
      </w:r>
      <w:r w:rsidR="00453F09" w:rsidRPr="00643C95">
        <w:rPr>
          <w:sz w:val="28"/>
          <w:szCs w:val="24"/>
        </w:rPr>
        <w:t>an apologist’s</w:t>
      </w:r>
      <w:r w:rsidRPr="00643C95">
        <w:rPr>
          <w:sz w:val="28"/>
          <w:szCs w:val="24"/>
        </w:rPr>
        <w:t xml:space="preserve"> v</w:t>
      </w:r>
      <w:r w:rsidR="004327CA" w:rsidRPr="00643C95">
        <w:rPr>
          <w:sz w:val="28"/>
          <w:szCs w:val="24"/>
        </w:rPr>
        <w:t>a</w:t>
      </w:r>
      <w:r w:rsidRPr="00643C95">
        <w:rPr>
          <w:sz w:val="28"/>
          <w:szCs w:val="24"/>
        </w:rPr>
        <w:t xml:space="preserve">in effort, Dershowitz </w:t>
      </w:r>
      <w:r w:rsidR="00453F09" w:rsidRPr="00643C95">
        <w:rPr>
          <w:sz w:val="28"/>
          <w:szCs w:val="24"/>
        </w:rPr>
        <w:t>does not</w:t>
      </w:r>
      <w:r w:rsidRPr="00643C95">
        <w:rPr>
          <w:sz w:val="28"/>
          <w:szCs w:val="24"/>
        </w:rPr>
        <w:t xml:space="preserve"> address historical preceden</w:t>
      </w:r>
      <w:r w:rsidR="00660677" w:rsidRPr="00643C95">
        <w:rPr>
          <w:sz w:val="28"/>
          <w:szCs w:val="24"/>
        </w:rPr>
        <w:t>t</w:t>
      </w:r>
      <w:r w:rsidRPr="00643C95">
        <w:rPr>
          <w:sz w:val="28"/>
          <w:szCs w:val="24"/>
        </w:rPr>
        <w:t>, including the obstruction of justice charges brought in President Clinton’s impeachment proceedings,</w:t>
      </w:r>
      <w:r w:rsidRPr="00643C95">
        <w:rPr>
          <w:rStyle w:val="NoterefInText"/>
          <w:sz w:val="18"/>
        </w:rPr>
        <w:footnoteReference w:id="35"/>
      </w:r>
      <w:r w:rsidRPr="00643C95">
        <w:rPr>
          <w:sz w:val="28"/>
          <w:szCs w:val="24"/>
        </w:rPr>
        <w:t xml:space="preserve"> and the proposed charges against President Nixon,</w:t>
      </w:r>
      <w:r w:rsidRPr="00643C95">
        <w:rPr>
          <w:rStyle w:val="NoterefInText"/>
          <w:sz w:val="18"/>
        </w:rPr>
        <w:footnoteReference w:id="36"/>
      </w:r>
      <w:r w:rsidRPr="00643C95">
        <w:rPr>
          <w:sz w:val="28"/>
          <w:szCs w:val="24"/>
        </w:rPr>
        <w:t xml:space="preserve"> which were each based on </w:t>
      </w:r>
      <w:r w:rsidR="00296FC3" w:rsidRPr="00643C95">
        <w:rPr>
          <w:sz w:val="28"/>
          <w:szCs w:val="24"/>
        </w:rPr>
        <w:t>“</w:t>
      </w:r>
      <w:r w:rsidRPr="00643C95">
        <w:rPr>
          <w:sz w:val="28"/>
          <w:szCs w:val="24"/>
        </w:rPr>
        <w:t xml:space="preserve">high </w:t>
      </w:r>
      <w:r w:rsidR="00296FC3" w:rsidRPr="00643C95">
        <w:rPr>
          <w:sz w:val="28"/>
          <w:szCs w:val="24"/>
        </w:rPr>
        <w:t>C</w:t>
      </w:r>
      <w:r w:rsidRPr="00643C95">
        <w:rPr>
          <w:sz w:val="28"/>
          <w:szCs w:val="24"/>
        </w:rPr>
        <w:t xml:space="preserve">rimes </w:t>
      </w:r>
      <w:r w:rsidR="00296FC3" w:rsidRPr="00643C95">
        <w:rPr>
          <w:sz w:val="28"/>
          <w:szCs w:val="24"/>
        </w:rPr>
        <w:t>and</w:t>
      </w:r>
      <w:r w:rsidRPr="00643C95">
        <w:rPr>
          <w:sz w:val="28"/>
          <w:szCs w:val="24"/>
        </w:rPr>
        <w:t xml:space="preserve"> </w:t>
      </w:r>
      <w:r w:rsidR="00296FC3" w:rsidRPr="00643C95">
        <w:rPr>
          <w:sz w:val="28"/>
          <w:szCs w:val="24"/>
        </w:rPr>
        <w:t>M</w:t>
      </w:r>
      <w:r w:rsidRPr="00643C95">
        <w:rPr>
          <w:sz w:val="28"/>
          <w:szCs w:val="24"/>
        </w:rPr>
        <w:t>isdemeanor</w:t>
      </w:r>
      <w:r w:rsidR="00296FC3" w:rsidRPr="00643C95">
        <w:rPr>
          <w:sz w:val="28"/>
          <w:szCs w:val="24"/>
        </w:rPr>
        <w:t>s</w:t>
      </w:r>
      <w:r w:rsidRPr="00643C95">
        <w:rPr>
          <w:sz w:val="28"/>
          <w:szCs w:val="24"/>
        </w:rPr>
        <w:t>,</w:t>
      </w:r>
      <w:r w:rsidR="00296FC3" w:rsidRPr="00643C95">
        <w:rPr>
          <w:sz w:val="28"/>
          <w:szCs w:val="24"/>
        </w:rPr>
        <w:t>”</w:t>
      </w:r>
      <w:r w:rsidRPr="00643C95">
        <w:rPr>
          <w:sz w:val="28"/>
          <w:szCs w:val="24"/>
        </w:rPr>
        <w:t xml:space="preserve"> and specially contained obstruction of justice charges (the likely charges against President Trump if impeachment is recommended).</w:t>
      </w:r>
      <w:r w:rsidRPr="00643C95">
        <w:rPr>
          <w:rStyle w:val="NoterefInText"/>
          <w:sz w:val="18"/>
        </w:rPr>
        <w:footnoteReference w:id="37"/>
      </w:r>
      <w:r w:rsidRPr="00643C95">
        <w:rPr>
          <w:sz w:val="28"/>
          <w:szCs w:val="24"/>
        </w:rPr>
        <w:t xml:space="preserve"> Moreover, in the four lengthy legal opinions on impeachment and criminal charges against a president drafted by the Justice Department</w:t>
      </w:r>
      <w:r w:rsidR="00825536" w:rsidRPr="00643C95">
        <w:rPr>
          <w:sz w:val="28"/>
          <w:szCs w:val="24"/>
        </w:rPr>
        <w:t>’s</w:t>
      </w:r>
      <w:r w:rsidRPr="00643C95">
        <w:rPr>
          <w:sz w:val="28"/>
          <w:szCs w:val="24"/>
        </w:rPr>
        <w:t xml:space="preserve"> Legal Office and the Office of Special Counsel in the Nixon impeachment effort</w:t>
      </w:r>
      <w:r w:rsidR="00AB4D72" w:rsidRPr="00643C95">
        <w:rPr>
          <w:sz w:val="28"/>
          <w:szCs w:val="24"/>
        </w:rPr>
        <w:t>,</w:t>
      </w:r>
      <w:r w:rsidRPr="00643C95">
        <w:rPr>
          <w:sz w:val="28"/>
          <w:szCs w:val="24"/>
        </w:rPr>
        <w:t xml:space="preserve"> as well as in Clinton’s impeachment, there was no hesitation </w:t>
      </w:r>
      <w:r w:rsidR="00AB4D72" w:rsidRPr="00643C95">
        <w:rPr>
          <w:sz w:val="28"/>
          <w:szCs w:val="24"/>
        </w:rPr>
        <w:t xml:space="preserve">to </w:t>
      </w:r>
      <w:r w:rsidRPr="00643C95">
        <w:rPr>
          <w:sz w:val="28"/>
          <w:szCs w:val="24"/>
        </w:rPr>
        <w:t xml:space="preserve">accept that a president could be impeached under the </w:t>
      </w:r>
      <w:r w:rsidR="00AB4D72" w:rsidRPr="00643C95">
        <w:rPr>
          <w:sz w:val="28"/>
          <w:szCs w:val="24"/>
        </w:rPr>
        <w:t>“</w:t>
      </w:r>
      <w:r w:rsidRPr="00643C95">
        <w:rPr>
          <w:sz w:val="28"/>
          <w:szCs w:val="24"/>
        </w:rPr>
        <w:t xml:space="preserve">high </w:t>
      </w:r>
      <w:r w:rsidR="00AB4D72" w:rsidRPr="00643C95">
        <w:rPr>
          <w:sz w:val="28"/>
          <w:szCs w:val="24"/>
        </w:rPr>
        <w:t>C</w:t>
      </w:r>
      <w:r w:rsidRPr="00643C95">
        <w:rPr>
          <w:sz w:val="28"/>
          <w:szCs w:val="24"/>
        </w:rPr>
        <w:t xml:space="preserve">rimes and </w:t>
      </w:r>
      <w:r w:rsidR="00AB4D72" w:rsidRPr="00643C95">
        <w:rPr>
          <w:sz w:val="28"/>
          <w:szCs w:val="24"/>
        </w:rPr>
        <w:t>M</w:t>
      </w:r>
      <w:r w:rsidRPr="00643C95">
        <w:rPr>
          <w:sz w:val="28"/>
          <w:szCs w:val="24"/>
        </w:rPr>
        <w:t>isdemeanors</w:t>
      </w:r>
      <w:r w:rsidR="00AB4D72" w:rsidRPr="00643C95">
        <w:rPr>
          <w:sz w:val="28"/>
          <w:szCs w:val="24"/>
        </w:rPr>
        <w:t>”</w:t>
      </w:r>
      <w:r w:rsidRPr="00643C95">
        <w:rPr>
          <w:sz w:val="28"/>
          <w:szCs w:val="24"/>
        </w:rPr>
        <w:t xml:space="preserve"> provision of the Impeachment Clause of Article II.</w:t>
      </w:r>
      <w:r w:rsidRPr="00643C95">
        <w:rPr>
          <w:rStyle w:val="NoterefInText"/>
          <w:sz w:val="18"/>
        </w:rPr>
        <w:footnoteReference w:id="38"/>
      </w:r>
      <w:r w:rsidRPr="00643C95">
        <w:rPr>
          <w:sz w:val="28"/>
          <w:szCs w:val="24"/>
        </w:rPr>
        <w:t xml:space="preserve"> Despite these historical facts, in one chapter of the book, Dershowitz tries to defend the President against any impending charge by arguing Trump cannot be charged with obstruction of justice where he was just basically doing what he has the power to do.</w:t>
      </w:r>
      <w:r w:rsidRPr="00643C95">
        <w:rPr>
          <w:rStyle w:val="NoterefInText"/>
          <w:sz w:val="18"/>
        </w:rPr>
        <w:footnoteReference w:id="39"/>
      </w:r>
      <w:r w:rsidRPr="00643C95">
        <w:rPr>
          <w:sz w:val="28"/>
          <w:szCs w:val="24"/>
        </w:rPr>
        <w:t xml:space="preserve"> The problem with this argument is that it not only disregards the law of obstruction of justice, </w:t>
      </w:r>
      <w:r w:rsidR="00C452B9" w:rsidRPr="00643C95">
        <w:rPr>
          <w:sz w:val="28"/>
          <w:szCs w:val="24"/>
        </w:rPr>
        <w:t xml:space="preserve">on </w:t>
      </w:r>
      <w:r w:rsidRPr="00643C95">
        <w:rPr>
          <w:sz w:val="28"/>
          <w:szCs w:val="24"/>
        </w:rPr>
        <w:t>which there is extensive case</w:t>
      </w:r>
      <w:r w:rsidR="005511D2" w:rsidRPr="00643C95">
        <w:rPr>
          <w:sz w:val="28"/>
          <w:szCs w:val="24"/>
        </w:rPr>
        <w:t>-</w:t>
      </w:r>
      <w:r w:rsidRPr="00643C95">
        <w:rPr>
          <w:sz w:val="28"/>
          <w:szCs w:val="24"/>
        </w:rPr>
        <w:t>law and scholarship,</w:t>
      </w:r>
      <w:r w:rsidRPr="00643C95">
        <w:rPr>
          <w:rStyle w:val="NoterefInText"/>
          <w:sz w:val="18"/>
        </w:rPr>
        <w:footnoteReference w:id="40"/>
      </w:r>
      <w:r w:rsidRPr="00643C95">
        <w:rPr>
          <w:sz w:val="28"/>
          <w:szCs w:val="24"/>
        </w:rPr>
        <w:t xml:space="preserve"> </w:t>
      </w:r>
      <w:r w:rsidR="00C452B9" w:rsidRPr="00643C95">
        <w:rPr>
          <w:sz w:val="28"/>
          <w:szCs w:val="24"/>
        </w:rPr>
        <w:t xml:space="preserve">but also that </w:t>
      </w:r>
      <w:r w:rsidRPr="00643C95">
        <w:rPr>
          <w:sz w:val="28"/>
          <w:szCs w:val="24"/>
        </w:rPr>
        <w:t>Dershowitz, as a champion of civil liberties, astonishingly argu</w:t>
      </w:r>
      <w:r w:rsidR="00C452B9" w:rsidRPr="00643C95">
        <w:rPr>
          <w:sz w:val="28"/>
          <w:szCs w:val="24"/>
        </w:rPr>
        <w:t>es</w:t>
      </w:r>
      <w:r w:rsidRPr="00643C95">
        <w:rPr>
          <w:sz w:val="28"/>
          <w:szCs w:val="24"/>
        </w:rPr>
        <w:t xml:space="preserve"> for a form of executive supremacy that would in fact make a sitting president above the law.</w:t>
      </w:r>
      <w:r w:rsidRPr="00643C95">
        <w:rPr>
          <w:rStyle w:val="NoterefInText"/>
          <w:sz w:val="18"/>
        </w:rPr>
        <w:footnoteReference w:id="41"/>
      </w:r>
    </w:p>
    <w:p w14:paraId="4C0A9AC1" w14:textId="5F352290" w:rsidR="00CD65AE" w:rsidRPr="00643C95" w:rsidRDefault="00CD65AE" w:rsidP="00CD65AE">
      <w:pPr>
        <w:pStyle w:val="Document"/>
        <w:widowControl w:val="0"/>
        <w:ind w:firstLine="446"/>
        <w:rPr>
          <w:sz w:val="28"/>
        </w:rPr>
      </w:pPr>
      <w:proofErr w:type="gramStart"/>
      <w:r w:rsidRPr="00643C95">
        <w:rPr>
          <w:sz w:val="28"/>
          <w:szCs w:val="24"/>
        </w:rPr>
        <w:t>In essence, despite</w:t>
      </w:r>
      <w:proofErr w:type="gramEnd"/>
      <w:r w:rsidRPr="00643C95">
        <w:rPr>
          <w:sz w:val="28"/>
          <w:szCs w:val="24"/>
        </w:rPr>
        <w:t xml:space="preserve"> the wealth of authority </w:t>
      </w:r>
      <w:r w:rsidR="00E006AC" w:rsidRPr="00643C95">
        <w:rPr>
          <w:sz w:val="28"/>
          <w:szCs w:val="24"/>
        </w:rPr>
        <w:t xml:space="preserve">stating </w:t>
      </w:r>
      <w:r w:rsidRPr="00643C95">
        <w:rPr>
          <w:sz w:val="28"/>
          <w:szCs w:val="24"/>
        </w:rPr>
        <w:t xml:space="preserve">the contrary, Dershowitz asserts that a president can only be impeached for </w:t>
      </w:r>
      <w:r w:rsidR="00103613" w:rsidRPr="00643C95">
        <w:rPr>
          <w:sz w:val="28"/>
          <w:szCs w:val="24"/>
        </w:rPr>
        <w:t>a crime</w:t>
      </w:r>
      <w:r w:rsidRPr="00643C95">
        <w:rPr>
          <w:sz w:val="28"/>
          <w:szCs w:val="24"/>
        </w:rPr>
        <w:t xml:space="preserve">. Yet </w:t>
      </w:r>
      <w:r w:rsidRPr="00643C95">
        <w:rPr>
          <w:sz w:val="28"/>
          <w:szCs w:val="24"/>
        </w:rPr>
        <w:lastRenderedPageBreak/>
        <w:t xml:space="preserve">his textual argument falls flat under its own weight—Dershowitz wants the interpretation of the Constitution’s Impeachment Clause to follow the enumerated wrongs listed in the Clause while also completely ignoring a specifically stated basis for impeachment that has historically and repeatedly been interpreted to be the broadest basis for impeachment. In the end, Dershowitz asserts that it would be dangerous to use a </w:t>
      </w:r>
      <w:r w:rsidR="001B394F" w:rsidRPr="00643C95">
        <w:rPr>
          <w:sz w:val="28"/>
          <w:szCs w:val="24"/>
        </w:rPr>
        <w:t>broad reading of</w:t>
      </w:r>
      <w:r w:rsidRPr="00643C95">
        <w:rPr>
          <w:sz w:val="28"/>
          <w:szCs w:val="24"/>
        </w:rPr>
        <w:t xml:space="preserve"> </w:t>
      </w:r>
      <w:r w:rsidR="004209DB" w:rsidRPr="00643C95">
        <w:rPr>
          <w:sz w:val="28"/>
          <w:szCs w:val="24"/>
        </w:rPr>
        <w:t>“high C</w:t>
      </w:r>
      <w:r w:rsidRPr="00643C95">
        <w:rPr>
          <w:sz w:val="28"/>
          <w:szCs w:val="24"/>
        </w:rPr>
        <w:t xml:space="preserve">rimes and </w:t>
      </w:r>
      <w:r w:rsidR="004209DB" w:rsidRPr="00643C95">
        <w:rPr>
          <w:sz w:val="28"/>
          <w:szCs w:val="24"/>
        </w:rPr>
        <w:t>M</w:t>
      </w:r>
      <w:r w:rsidRPr="00643C95">
        <w:rPr>
          <w:sz w:val="28"/>
          <w:szCs w:val="24"/>
        </w:rPr>
        <w:t>isdemeanors</w:t>
      </w:r>
      <w:r w:rsidR="004209DB" w:rsidRPr="00643C95">
        <w:rPr>
          <w:sz w:val="28"/>
          <w:szCs w:val="24"/>
        </w:rPr>
        <w:t>”</w:t>
      </w:r>
      <w:r w:rsidRPr="00643C95">
        <w:rPr>
          <w:sz w:val="28"/>
          <w:szCs w:val="24"/>
        </w:rPr>
        <w:t xml:space="preserve"> because </w:t>
      </w:r>
      <w:r w:rsidR="004209DB" w:rsidRPr="00643C95">
        <w:rPr>
          <w:sz w:val="28"/>
          <w:szCs w:val="24"/>
        </w:rPr>
        <w:t xml:space="preserve">doing so </w:t>
      </w:r>
      <w:r w:rsidRPr="00643C95">
        <w:rPr>
          <w:sz w:val="28"/>
          <w:szCs w:val="24"/>
        </w:rPr>
        <w:t>could jeopardize our system of government.</w:t>
      </w:r>
      <w:r w:rsidRPr="00643C95">
        <w:rPr>
          <w:rStyle w:val="NoterefInText"/>
          <w:sz w:val="18"/>
        </w:rPr>
        <w:footnoteReference w:id="42"/>
      </w:r>
      <w:r w:rsidRPr="00643C95">
        <w:rPr>
          <w:sz w:val="28"/>
          <w:szCs w:val="24"/>
        </w:rPr>
        <w:t xml:space="preserve"> How it would do so remains unclear, however. And even for somewhat playful arguments’ sake, if Dershowitz is correct in his selective reading of Article II’s Impeachment Clause, as he himself admits, more than one political candidate, including Professor Richard Painter, who is running for the U.S. Senate, has asserted that Trump’s actions amount to Treason.</w:t>
      </w:r>
      <w:r w:rsidRPr="00643C95">
        <w:rPr>
          <w:rStyle w:val="NoterefInText"/>
          <w:sz w:val="18"/>
        </w:rPr>
        <w:footnoteReference w:id="43"/>
      </w:r>
      <w:r w:rsidRPr="00643C95">
        <w:rPr>
          <w:sz w:val="28"/>
          <w:szCs w:val="24"/>
        </w:rPr>
        <w:t xml:space="preserve"> </w:t>
      </w:r>
      <w:r w:rsidR="009B0EAF" w:rsidRPr="00643C95">
        <w:rPr>
          <w:sz w:val="28"/>
          <w:szCs w:val="24"/>
        </w:rPr>
        <w:t>Dershow</w:t>
      </w:r>
      <w:r w:rsidR="00B02A58" w:rsidRPr="00643C95">
        <w:rPr>
          <w:sz w:val="28"/>
          <w:szCs w:val="24"/>
        </w:rPr>
        <w:t>i</w:t>
      </w:r>
      <w:r w:rsidR="009B0EAF" w:rsidRPr="00643C95">
        <w:rPr>
          <w:sz w:val="28"/>
          <w:szCs w:val="24"/>
        </w:rPr>
        <w:t xml:space="preserve">tz harshly criticizes </w:t>
      </w:r>
      <w:r w:rsidR="006E0A45" w:rsidRPr="00643C95">
        <w:rPr>
          <w:sz w:val="28"/>
          <w:szCs w:val="24"/>
        </w:rPr>
        <w:t>Painter</w:t>
      </w:r>
      <w:r w:rsidR="009B0EAF" w:rsidRPr="00643C95">
        <w:rPr>
          <w:sz w:val="28"/>
          <w:szCs w:val="24"/>
        </w:rPr>
        <w:t>, saying that he “should read the words of the Constitution, rather than making up crimes for partisan and personal advantage.”</w:t>
      </w:r>
      <w:r w:rsidRPr="00643C95">
        <w:rPr>
          <w:rStyle w:val="NoterefInText"/>
          <w:sz w:val="18"/>
        </w:rPr>
        <w:footnoteReference w:id="44"/>
      </w:r>
      <w:r w:rsidRPr="00643C95">
        <w:rPr>
          <w:sz w:val="28"/>
          <w:szCs w:val="24"/>
        </w:rPr>
        <w:t xml:space="preserve"> Interestingly, Dershowitz defends his own “pure motives” for writing the book by noting how many individuals and even legal scholars have accused him of doing the very same thing: “My motives have also been questioned by some of my academic and political colleagues. Am I being paid? Am I auditioning to be Trump’s lawyer?”</w:t>
      </w:r>
      <w:r w:rsidRPr="00643C95">
        <w:rPr>
          <w:rStyle w:val="NoterefInText"/>
          <w:sz w:val="18"/>
        </w:rPr>
        <w:footnoteReference w:id="45"/>
      </w:r>
    </w:p>
    <w:p w14:paraId="7D4A1317" w14:textId="6234B897" w:rsidR="00C72D9F" w:rsidRPr="00643C95" w:rsidRDefault="00CD65AE" w:rsidP="00C72D9F">
      <w:pPr>
        <w:pStyle w:val="Document"/>
        <w:widowControl w:val="0"/>
        <w:ind w:firstLine="446"/>
        <w:rPr>
          <w:sz w:val="28"/>
        </w:rPr>
      </w:pPr>
      <w:r w:rsidRPr="00643C95">
        <w:rPr>
          <w:sz w:val="28"/>
          <w:szCs w:val="24"/>
        </w:rPr>
        <w:t>In conclusion, Dershowitz asserts</w:t>
      </w:r>
      <w:r w:rsidR="00A10B7A" w:rsidRPr="00643C95">
        <w:rPr>
          <w:sz w:val="28"/>
          <w:szCs w:val="24"/>
        </w:rPr>
        <w:t xml:space="preserve"> that</w:t>
      </w:r>
      <w:r w:rsidRPr="00643C95">
        <w:rPr>
          <w:sz w:val="28"/>
          <w:szCs w:val="24"/>
        </w:rPr>
        <w:t xml:space="preserve"> he merely wants to focus on the importance of</w:t>
      </w:r>
      <w:r w:rsidR="00A10B7A" w:rsidRPr="00643C95">
        <w:rPr>
          <w:sz w:val="28"/>
          <w:szCs w:val="24"/>
        </w:rPr>
        <w:t xml:space="preserve"> following</w:t>
      </w:r>
      <w:r w:rsidRPr="00643C95">
        <w:rPr>
          <w:sz w:val="28"/>
          <w:szCs w:val="24"/>
        </w:rPr>
        <w:t xml:space="preserve"> preceden</w:t>
      </w:r>
      <w:r w:rsidR="002E0B47" w:rsidRPr="00643C95">
        <w:rPr>
          <w:sz w:val="28"/>
          <w:szCs w:val="24"/>
        </w:rPr>
        <w:t>t,</w:t>
      </w:r>
      <w:r w:rsidR="00A10B7A" w:rsidRPr="00643C95">
        <w:rPr>
          <w:rStyle w:val="NoterefInText"/>
          <w:sz w:val="18"/>
        </w:rPr>
        <w:footnoteReference w:id="46"/>
      </w:r>
      <w:r w:rsidR="002E0B47" w:rsidRPr="00643C95">
        <w:rPr>
          <w:sz w:val="28"/>
          <w:szCs w:val="24"/>
        </w:rPr>
        <w:t xml:space="preserve"> </w:t>
      </w:r>
      <w:r w:rsidRPr="00643C95">
        <w:rPr>
          <w:sz w:val="28"/>
          <w:szCs w:val="24"/>
        </w:rPr>
        <w:t xml:space="preserve">arguably the most interesting </w:t>
      </w:r>
      <w:r w:rsidR="00A10B7A" w:rsidRPr="00643C95">
        <w:rPr>
          <w:sz w:val="28"/>
          <w:szCs w:val="24"/>
        </w:rPr>
        <w:t xml:space="preserve">assertion </w:t>
      </w:r>
      <w:r w:rsidRPr="00643C95">
        <w:rPr>
          <w:sz w:val="28"/>
          <w:szCs w:val="24"/>
        </w:rPr>
        <w:t>in the book</w:t>
      </w:r>
      <w:r w:rsidR="002E0B47" w:rsidRPr="00643C95">
        <w:rPr>
          <w:sz w:val="28"/>
          <w:szCs w:val="24"/>
        </w:rPr>
        <w:t>.</w:t>
      </w:r>
      <w:r w:rsidRPr="00643C95">
        <w:rPr>
          <w:sz w:val="28"/>
          <w:szCs w:val="24"/>
        </w:rPr>
        <w:t xml:space="preserve"> </w:t>
      </w:r>
      <w:r w:rsidR="002E0B47" w:rsidRPr="00643C95">
        <w:rPr>
          <w:sz w:val="28"/>
          <w:szCs w:val="24"/>
        </w:rPr>
        <w:t>Yet in</w:t>
      </w:r>
      <w:r w:rsidRPr="00643C95">
        <w:rPr>
          <w:sz w:val="28"/>
          <w:szCs w:val="24"/>
        </w:rPr>
        <w:t xml:space="preserve"> his defense of President Trump, Professor Dershowitz fails to examine the legal precedent on the law concerning impeachment. Much like his attacks on those he differs with in this book, Professor Dershowitz is being selectively principled with his arguments and review of the law. Perhaps the following best highlights a flaw in this book: it is evidently shameless for Painter to attack President Trump while Painter is running for office, but it is not shameless for Dershowitz to defend Trump while Dershowitz is selling books? Further, by his own admission, Dershowitz wants all to appreciate the importance of precedence,</w:t>
      </w:r>
      <w:r w:rsidRPr="00643C95">
        <w:rPr>
          <w:rStyle w:val="NoterefInText"/>
          <w:sz w:val="18"/>
        </w:rPr>
        <w:footnoteReference w:id="47"/>
      </w:r>
      <w:r w:rsidRPr="00643C95">
        <w:rPr>
          <w:sz w:val="28"/>
          <w:szCs w:val="24"/>
        </w:rPr>
        <w:t xml:space="preserve"> but he fails or refuses to address legal precedence when dismissing “high </w:t>
      </w:r>
      <w:r w:rsidR="00D13375" w:rsidRPr="00643C95">
        <w:rPr>
          <w:sz w:val="28"/>
          <w:szCs w:val="24"/>
        </w:rPr>
        <w:t>C</w:t>
      </w:r>
      <w:r w:rsidRPr="00643C95">
        <w:rPr>
          <w:sz w:val="28"/>
          <w:szCs w:val="24"/>
        </w:rPr>
        <w:t xml:space="preserve">rimes and </w:t>
      </w:r>
      <w:r w:rsidR="00D13375" w:rsidRPr="00643C95">
        <w:rPr>
          <w:sz w:val="28"/>
          <w:szCs w:val="24"/>
        </w:rPr>
        <w:t>M</w:t>
      </w:r>
      <w:r w:rsidRPr="00643C95">
        <w:rPr>
          <w:sz w:val="28"/>
          <w:szCs w:val="24"/>
        </w:rPr>
        <w:t xml:space="preserve">isdemeanors” as a basis for impeachment, despite said basis being used against both President Clinton and President Nixon. </w:t>
      </w:r>
      <w:r w:rsidR="00C72D9F" w:rsidRPr="00643C95">
        <w:rPr>
          <w:sz w:val="28"/>
        </w:rPr>
        <w:br w:type="page"/>
      </w:r>
    </w:p>
    <w:p w14:paraId="655B74DE" w14:textId="77777777" w:rsidR="000A67AA" w:rsidRPr="00643C95" w:rsidRDefault="000A67AA" w:rsidP="00C72D9F">
      <w:pPr>
        <w:pStyle w:val="Document"/>
        <w:widowControl w:val="0"/>
        <w:ind w:firstLine="446"/>
        <w:rPr>
          <w:sz w:val="28"/>
        </w:rPr>
      </w:pPr>
    </w:p>
    <w:sectPr w:rsidR="000A67AA" w:rsidRPr="00643C95" w:rsidSect="000674C0">
      <w:headerReference w:type="even" r:id="rId8"/>
      <w:headerReference w:type="default" r:id="rId9"/>
      <w:headerReference w:type="first" r:id="rId10"/>
      <w:footerReference w:type="first" r:id="rId11"/>
      <w:footnotePr>
        <w:pos w:val="beneathText"/>
      </w:footnotePr>
      <w:type w:val="continuous"/>
      <w:pgSz w:w="12240" w:h="15840" w:code="1"/>
      <w:pgMar w:top="720" w:right="2780" w:bottom="2960" w:left="2780" w:header="720" w:footer="2880" w:gutter="0"/>
      <w:pgNumType w:start="19"/>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2C1966" w14:textId="77777777" w:rsidR="00702311" w:rsidRDefault="00702311">
      <w:r>
        <w:separator/>
      </w:r>
    </w:p>
  </w:endnote>
  <w:endnote w:type="continuationSeparator" w:id="0">
    <w:p w14:paraId="16BC328F" w14:textId="77777777" w:rsidR="00702311" w:rsidRDefault="007023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4D"/>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BA4DDF" w14:textId="77777777" w:rsidR="00A07403" w:rsidRDefault="00A07403" w:rsidP="00B602E2">
    <w:pPr>
      <w:pStyle w:val="Footer"/>
      <w:spacing w:before="240"/>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19</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B373F0" w14:textId="77777777" w:rsidR="00702311" w:rsidRPr="00CD65AE" w:rsidRDefault="00702311" w:rsidP="00CD65AE">
      <w:pPr>
        <w:pStyle w:val="Footer"/>
        <w:pBdr>
          <w:bottom w:val="single" w:sz="6" w:space="0" w:color="auto"/>
        </w:pBdr>
        <w:spacing w:after="80"/>
      </w:pPr>
    </w:p>
  </w:footnote>
  <w:footnote w:type="continuationSeparator" w:id="0">
    <w:p w14:paraId="1D973007" w14:textId="77777777" w:rsidR="00702311" w:rsidRPr="00CD65AE" w:rsidRDefault="00702311" w:rsidP="00CD65AE">
      <w:pPr>
        <w:pStyle w:val="Footer"/>
        <w:pBdr>
          <w:bottom w:val="single" w:sz="6" w:space="0" w:color="auto"/>
        </w:pBdr>
        <w:spacing w:after="80"/>
      </w:pPr>
    </w:p>
  </w:footnote>
  <w:footnote w:id="1">
    <w:p w14:paraId="5681E824" w14:textId="7E808BB4" w:rsidR="00A07403" w:rsidRPr="00643C95" w:rsidRDefault="00A07403" w:rsidP="00E01BEB">
      <w:pPr>
        <w:pStyle w:val="FootNotePara"/>
        <w:ind w:firstLine="0"/>
        <w:rPr>
          <w:rStyle w:val="NoterefInNote"/>
          <w:sz w:val="20"/>
        </w:rPr>
      </w:pPr>
      <w:r w:rsidRPr="00643C95">
        <w:rPr>
          <w:rStyle w:val="NoterefInNote"/>
          <w:sz w:val="20"/>
        </w:rPr>
        <w:tab/>
        <w:t>*.</w:t>
      </w:r>
      <w:r w:rsidRPr="00643C95">
        <w:rPr>
          <w:rStyle w:val="NoterefInNote"/>
          <w:vanish/>
          <w:sz w:val="20"/>
        </w:rPr>
        <w:t>.</w:t>
      </w:r>
      <w:r w:rsidRPr="00643C95">
        <w:rPr>
          <w:rStyle w:val="NoterefInNote"/>
          <w:sz w:val="20"/>
        </w:rPr>
        <w:tab/>
      </w:r>
      <w:r w:rsidRPr="00643C95">
        <w:rPr>
          <w:sz w:val="20"/>
        </w:rPr>
        <w:t>Professor of Law, Florida International University College of Law.</w:t>
      </w:r>
    </w:p>
  </w:footnote>
  <w:footnote w:id="2">
    <w:p w14:paraId="28AB1FF2" w14:textId="0EA236E5" w:rsidR="00A07403" w:rsidRPr="00643C95" w:rsidRDefault="00A07403" w:rsidP="006742FF">
      <w:pPr>
        <w:pStyle w:val="FootNotePara"/>
        <w:ind w:firstLine="0"/>
        <w:rPr>
          <w:rStyle w:val="NoterefInNote"/>
          <w:sz w:val="20"/>
        </w:rPr>
      </w:pPr>
      <w:r w:rsidRPr="00643C95">
        <w:rPr>
          <w:rStyle w:val="NoterefInNote"/>
          <w:sz w:val="20"/>
        </w:rPr>
        <w:tab/>
        <w:t>†.</w:t>
      </w:r>
      <w:r w:rsidRPr="00643C95">
        <w:rPr>
          <w:rStyle w:val="NoterefInNote"/>
          <w:vanish/>
          <w:sz w:val="20"/>
        </w:rPr>
        <w:t>.</w:t>
      </w:r>
      <w:r w:rsidRPr="00643C95">
        <w:rPr>
          <w:rStyle w:val="NoterefInNote"/>
          <w:sz w:val="20"/>
        </w:rPr>
        <w:tab/>
      </w:r>
      <w:r w:rsidRPr="00643C95">
        <w:rPr>
          <w:sz w:val="20"/>
        </w:rPr>
        <w:t>J.D. Candidate 2020, Florida International University College of Law.</w:t>
      </w:r>
    </w:p>
  </w:footnote>
  <w:footnote w:id="3">
    <w:p w14:paraId="5BEA8600" w14:textId="4E63A0E2" w:rsidR="00A07403" w:rsidRPr="00643C95" w:rsidRDefault="00A07403" w:rsidP="006742FF">
      <w:pPr>
        <w:pStyle w:val="FootNotePara"/>
        <w:ind w:firstLine="0"/>
        <w:rPr>
          <w:rStyle w:val="NoterefInNote"/>
          <w:sz w:val="20"/>
        </w:rPr>
      </w:pPr>
      <w:r w:rsidRPr="00643C95">
        <w:rPr>
          <w:rStyle w:val="NoterefInNote"/>
          <w:sz w:val="20"/>
        </w:rPr>
        <w:tab/>
        <w:t>‡.</w:t>
      </w:r>
      <w:r w:rsidRPr="00643C95">
        <w:rPr>
          <w:rStyle w:val="NoterefInNote"/>
          <w:vanish/>
          <w:sz w:val="20"/>
        </w:rPr>
        <w:t>.</w:t>
      </w:r>
      <w:r w:rsidRPr="00643C95">
        <w:rPr>
          <w:rStyle w:val="NoterefInNote"/>
          <w:sz w:val="20"/>
        </w:rPr>
        <w:tab/>
      </w:r>
      <w:r w:rsidRPr="00643C95">
        <w:rPr>
          <w:sz w:val="20"/>
        </w:rPr>
        <w:t>J.D. Candidate 2020, Florida International University College of Law.</w:t>
      </w:r>
    </w:p>
  </w:footnote>
  <w:footnote w:id="4">
    <w:p w14:paraId="7317E42D" w14:textId="69C4E240" w:rsidR="00A07403" w:rsidRPr="00643C95" w:rsidRDefault="00A07403" w:rsidP="006742FF">
      <w:pPr>
        <w:pStyle w:val="FootNote"/>
        <w:widowControl w:val="0"/>
        <w:rPr>
          <w:sz w:val="20"/>
        </w:rPr>
      </w:pPr>
      <w:r w:rsidRPr="00643C95">
        <w:rPr>
          <w:rStyle w:val="FootnoteReference"/>
          <w:sz w:val="20"/>
        </w:rPr>
        <w:tab/>
      </w:r>
      <w:r w:rsidRPr="00643C95">
        <w:rPr>
          <w:rStyle w:val="NoterefInNote"/>
          <w:sz w:val="20"/>
        </w:rPr>
        <w:t>§.</w:t>
      </w:r>
      <w:r w:rsidRPr="00643C95">
        <w:rPr>
          <w:rStyle w:val="FootnoteReference"/>
          <w:sz w:val="20"/>
        </w:rPr>
        <w:t>.</w:t>
      </w:r>
      <w:r w:rsidRPr="00643C95">
        <w:rPr>
          <w:rStyle w:val="FootnoteReference"/>
          <w:sz w:val="20"/>
        </w:rPr>
        <w:tab/>
      </w:r>
      <w:r w:rsidRPr="00643C95">
        <w:rPr>
          <w:sz w:val="20"/>
        </w:rPr>
        <w:t>J.D. Candidate 2020, Florida International University College of Law.</w:t>
      </w:r>
    </w:p>
  </w:footnote>
  <w:footnote w:id="5">
    <w:p w14:paraId="1908FC6B" w14:textId="345BE503" w:rsidR="00A07403" w:rsidRPr="00643C95" w:rsidRDefault="00A07403" w:rsidP="00CD65AE">
      <w:pPr>
        <w:pStyle w:val="FootNote"/>
        <w:widowControl w:val="0"/>
        <w:rPr>
          <w:sz w:val="20"/>
        </w:rPr>
      </w:pPr>
      <w:r w:rsidRPr="00643C95">
        <w:rPr>
          <w:sz w:val="20"/>
        </w:rPr>
        <w:tab/>
      </w:r>
      <w:r w:rsidRPr="00643C95">
        <w:rPr>
          <w:rStyle w:val="NoterefInNote"/>
          <w:sz w:val="20"/>
        </w:rPr>
        <w:footnoteRef/>
      </w:r>
      <w:r w:rsidRPr="00643C95">
        <w:rPr>
          <w:sz w:val="20"/>
        </w:rPr>
        <w:t>.</w:t>
      </w:r>
      <w:r w:rsidRPr="00643C95">
        <w:rPr>
          <w:sz w:val="20"/>
        </w:rPr>
        <w:tab/>
      </w:r>
      <w:r w:rsidRPr="00643C95">
        <w:rPr>
          <w:smallCaps/>
          <w:sz w:val="20"/>
          <w:szCs w:val="16"/>
        </w:rPr>
        <w:t>Alan Dershowitz, The Case Against Impeaching Trump</w:t>
      </w:r>
      <w:r w:rsidRPr="00643C95">
        <w:rPr>
          <w:sz w:val="20"/>
        </w:rPr>
        <w:t xml:space="preserve"> (2018).</w:t>
      </w:r>
    </w:p>
  </w:footnote>
  <w:footnote w:id="6">
    <w:p w14:paraId="08C845CE" w14:textId="446D64C1" w:rsidR="00A07403" w:rsidRPr="00643C95" w:rsidRDefault="00A07403" w:rsidP="00CD65AE">
      <w:pPr>
        <w:pStyle w:val="FootNote"/>
        <w:widowControl w:val="0"/>
        <w:rPr>
          <w:sz w:val="20"/>
        </w:rPr>
      </w:pPr>
      <w:r w:rsidRPr="00643C95">
        <w:rPr>
          <w:sz w:val="20"/>
        </w:rPr>
        <w:tab/>
      </w:r>
      <w:r w:rsidRPr="00643C95">
        <w:rPr>
          <w:rStyle w:val="NoterefInNote"/>
          <w:sz w:val="20"/>
        </w:rPr>
        <w:footnoteRef/>
      </w:r>
      <w:r w:rsidRPr="00643C95">
        <w:rPr>
          <w:sz w:val="20"/>
        </w:rPr>
        <w:t>.</w:t>
      </w:r>
      <w:r w:rsidRPr="00643C95">
        <w:rPr>
          <w:sz w:val="20"/>
        </w:rPr>
        <w:tab/>
      </w:r>
      <w:r w:rsidRPr="00643C95">
        <w:rPr>
          <w:i/>
          <w:sz w:val="20"/>
        </w:rPr>
        <w:t xml:space="preserve">Id. </w:t>
      </w:r>
      <w:r w:rsidRPr="00643C95">
        <w:rPr>
          <w:sz w:val="20"/>
        </w:rPr>
        <w:t xml:space="preserve">at 1. </w:t>
      </w:r>
    </w:p>
  </w:footnote>
  <w:footnote w:id="7">
    <w:p w14:paraId="062A9468" w14:textId="43EC277A" w:rsidR="00A07403" w:rsidRPr="00643C95" w:rsidRDefault="00A07403" w:rsidP="00CD65AE">
      <w:pPr>
        <w:pStyle w:val="FootNote"/>
        <w:widowControl w:val="0"/>
        <w:rPr>
          <w:sz w:val="20"/>
        </w:rPr>
      </w:pPr>
      <w:r w:rsidRPr="00643C95">
        <w:rPr>
          <w:sz w:val="20"/>
        </w:rPr>
        <w:tab/>
      </w:r>
      <w:r w:rsidRPr="00643C95">
        <w:rPr>
          <w:rStyle w:val="NoterefInNote"/>
          <w:sz w:val="20"/>
        </w:rPr>
        <w:footnoteRef/>
      </w:r>
      <w:r w:rsidRPr="00643C95">
        <w:rPr>
          <w:sz w:val="20"/>
        </w:rPr>
        <w:t>.</w:t>
      </w:r>
      <w:r w:rsidRPr="00643C95">
        <w:rPr>
          <w:sz w:val="20"/>
        </w:rPr>
        <w:tab/>
        <w:t xml:space="preserve">U.S. </w:t>
      </w:r>
      <w:r w:rsidRPr="00643C95">
        <w:rPr>
          <w:smallCaps/>
          <w:sz w:val="20"/>
          <w:szCs w:val="16"/>
        </w:rPr>
        <w:t>Const</w:t>
      </w:r>
      <w:r w:rsidRPr="00643C95">
        <w:rPr>
          <w:sz w:val="20"/>
        </w:rPr>
        <w:t xml:space="preserve">. art. II, § 4. </w:t>
      </w:r>
    </w:p>
  </w:footnote>
  <w:footnote w:id="8">
    <w:p w14:paraId="123216FA" w14:textId="2070B382" w:rsidR="00A07403" w:rsidRPr="00643C95" w:rsidRDefault="00A07403" w:rsidP="00C00D1C">
      <w:pPr>
        <w:pStyle w:val="FootNote"/>
        <w:widowControl w:val="0"/>
        <w:rPr>
          <w:sz w:val="20"/>
        </w:rPr>
      </w:pPr>
      <w:r w:rsidRPr="00643C95">
        <w:rPr>
          <w:sz w:val="20"/>
        </w:rPr>
        <w:tab/>
      </w:r>
      <w:r w:rsidRPr="00643C95">
        <w:rPr>
          <w:rStyle w:val="NoterefInNote"/>
          <w:sz w:val="20"/>
        </w:rPr>
        <w:footnoteRef/>
      </w:r>
      <w:r w:rsidRPr="00643C95">
        <w:rPr>
          <w:sz w:val="20"/>
        </w:rPr>
        <w:t>.</w:t>
      </w:r>
      <w:r w:rsidRPr="00643C95">
        <w:rPr>
          <w:sz w:val="20"/>
        </w:rPr>
        <w:tab/>
      </w:r>
      <w:proofErr w:type="gramStart"/>
      <w:r w:rsidRPr="00643C95">
        <w:rPr>
          <w:smallCaps/>
          <w:sz w:val="20"/>
          <w:szCs w:val="16"/>
        </w:rPr>
        <w:t>Dershowitz,</w:t>
      </w:r>
      <w:proofErr w:type="gramEnd"/>
      <w:r w:rsidRPr="00643C95">
        <w:rPr>
          <w:smallCaps/>
          <w:sz w:val="20"/>
          <w:szCs w:val="16"/>
        </w:rPr>
        <w:t xml:space="preserve"> </w:t>
      </w:r>
      <w:r w:rsidRPr="00643C95">
        <w:rPr>
          <w:i/>
          <w:sz w:val="20"/>
          <w:szCs w:val="16"/>
        </w:rPr>
        <w:t>supra</w:t>
      </w:r>
      <w:r w:rsidRPr="00643C95">
        <w:rPr>
          <w:sz w:val="20"/>
          <w:szCs w:val="16"/>
        </w:rPr>
        <w:t xml:space="preserve"> note </w:t>
      </w:r>
      <w:r w:rsidRPr="00643C95">
        <w:rPr>
          <w:sz w:val="20"/>
          <w:szCs w:val="16"/>
        </w:rPr>
        <w:fldChar w:fldCharType="begin"/>
      </w:r>
      <w:r w:rsidRPr="00643C95">
        <w:rPr>
          <w:sz w:val="20"/>
          <w:szCs w:val="16"/>
        </w:rPr>
        <w:instrText xml:space="preserve"> NOTEREF _Ref526953712 \h  \* MERGEFORMAT </w:instrText>
      </w:r>
      <w:r w:rsidRPr="00643C95">
        <w:rPr>
          <w:sz w:val="20"/>
          <w:szCs w:val="16"/>
        </w:rPr>
      </w:r>
      <w:r w:rsidRPr="00643C95">
        <w:rPr>
          <w:sz w:val="20"/>
          <w:szCs w:val="16"/>
        </w:rPr>
        <w:fldChar w:fldCharType="separate"/>
      </w:r>
      <w:r w:rsidR="00643C95" w:rsidRPr="00643C95">
        <w:rPr>
          <w:sz w:val="20"/>
          <w:szCs w:val="16"/>
        </w:rPr>
        <w:t>1</w:t>
      </w:r>
      <w:r w:rsidRPr="00643C95">
        <w:rPr>
          <w:sz w:val="20"/>
          <w:szCs w:val="16"/>
        </w:rPr>
        <w:fldChar w:fldCharType="end"/>
      </w:r>
      <w:r w:rsidRPr="00643C95">
        <w:rPr>
          <w:sz w:val="20"/>
          <w:szCs w:val="16"/>
        </w:rPr>
        <w:t>, at 10.</w:t>
      </w:r>
    </w:p>
  </w:footnote>
  <w:footnote w:id="9">
    <w:p w14:paraId="2A8BFF79" w14:textId="44EF9EE3" w:rsidR="00A07403" w:rsidRPr="00643C95" w:rsidRDefault="00A07403" w:rsidP="00CD65AE">
      <w:pPr>
        <w:pStyle w:val="FootNote"/>
        <w:widowControl w:val="0"/>
        <w:rPr>
          <w:sz w:val="20"/>
        </w:rPr>
      </w:pPr>
      <w:r w:rsidRPr="00643C95">
        <w:rPr>
          <w:sz w:val="20"/>
        </w:rPr>
        <w:tab/>
      </w:r>
      <w:r w:rsidRPr="00643C95">
        <w:rPr>
          <w:rStyle w:val="NoterefInNote"/>
          <w:sz w:val="20"/>
        </w:rPr>
        <w:footnoteRef/>
      </w:r>
      <w:r w:rsidRPr="00643C95">
        <w:rPr>
          <w:sz w:val="20"/>
        </w:rPr>
        <w:t>.</w:t>
      </w:r>
      <w:r w:rsidRPr="00643C95">
        <w:rPr>
          <w:sz w:val="20"/>
        </w:rPr>
        <w:tab/>
      </w:r>
      <w:r w:rsidRPr="00643C95">
        <w:rPr>
          <w:i/>
          <w:sz w:val="20"/>
        </w:rPr>
        <w:t xml:space="preserve">See </w:t>
      </w:r>
      <w:r w:rsidRPr="00643C95">
        <w:rPr>
          <w:smallCaps/>
          <w:sz w:val="20"/>
        </w:rPr>
        <w:t>Dershowitz</w:t>
      </w:r>
      <w:r w:rsidRPr="00643C95">
        <w:rPr>
          <w:sz w:val="20"/>
        </w:rPr>
        <w:t xml:space="preserve">, </w:t>
      </w:r>
      <w:r w:rsidRPr="00643C95">
        <w:rPr>
          <w:i/>
          <w:sz w:val="20"/>
        </w:rPr>
        <w:t>supra</w:t>
      </w:r>
      <w:r w:rsidRPr="00643C95">
        <w:rPr>
          <w:sz w:val="20"/>
        </w:rPr>
        <w:t xml:space="preserve"> note </w:t>
      </w:r>
      <w:r w:rsidRPr="00643C95">
        <w:rPr>
          <w:sz w:val="20"/>
        </w:rPr>
        <w:fldChar w:fldCharType="begin"/>
      </w:r>
      <w:r w:rsidRPr="00643C95">
        <w:rPr>
          <w:sz w:val="20"/>
        </w:rPr>
        <w:instrText xml:space="preserve"> NOTEREF _Ref526953712 \h </w:instrText>
      </w:r>
      <w:r w:rsidRPr="00643C95">
        <w:rPr>
          <w:sz w:val="20"/>
        </w:rPr>
      </w:r>
      <w:r w:rsidR="00643C95" w:rsidRPr="00643C95">
        <w:rPr>
          <w:sz w:val="20"/>
        </w:rPr>
        <w:instrText xml:space="preserve"> \* MERGEFORMAT </w:instrText>
      </w:r>
      <w:r w:rsidRPr="00643C95">
        <w:rPr>
          <w:sz w:val="20"/>
        </w:rPr>
        <w:fldChar w:fldCharType="separate"/>
      </w:r>
      <w:r w:rsidR="00643C95" w:rsidRPr="00643C95">
        <w:rPr>
          <w:sz w:val="20"/>
        </w:rPr>
        <w:t>1</w:t>
      </w:r>
      <w:r w:rsidRPr="00643C95">
        <w:rPr>
          <w:sz w:val="20"/>
        </w:rPr>
        <w:fldChar w:fldCharType="end"/>
      </w:r>
      <w:r w:rsidRPr="00643C95">
        <w:rPr>
          <w:sz w:val="20"/>
        </w:rPr>
        <w:t>, at 5.</w:t>
      </w:r>
    </w:p>
  </w:footnote>
  <w:footnote w:id="10">
    <w:p w14:paraId="57D48671" w14:textId="2C7AD5E4" w:rsidR="00A07403" w:rsidRPr="00643C95" w:rsidRDefault="00A07403" w:rsidP="00CD65AE">
      <w:pPr>
        <w:pStyle w:val="FootNote"/>
        <w:widowControl w:val="0"/>
        <w:rPr>
          <w:sz w:val="20"/>
        </w:rPr>
      </w:pPr>
      <w:r w:rsidRPr="00643C95">
        <w:rPr>
          <w:sz w:val="20"/>
        </w:rPr>
        <w:tab/>
      </w:r>
      <w:r w:rsidRPr="00643C95">
        <w:rPr>
          <w:rStyle w:val="NoterefInNote"/>
          <w:sz w:val="20"/>
        </w:rPr>
        <w:footnoteRef/>
      </w:r>
      <w:r w:rsidRPr="00643C95">
        <w:rPr>
          <w:sz w:val="20"/>
        </w:rPr>
        <w:t>.</w:t>
      </w:r>
      <w:r w:rsidRPr="00643C95">
        <w:rPr>
          <w:sz w:val="20"/>
        </w:rPr>
        <w:tab/>
        <w:t xml:space="preserve">Sandy Fitzgerald, </w:t>
      </w:r>
      <w:r w:rsidRPr="00643C95">
        <w:rPr>
          <w:i/>
          <w:sz w:val="20"/>
        </w:rPr>
        <w:t>Alan Dershowitz:</w:t>
      </w:r>
      <w:r w:rsidRPr="00643C95">
        <w:rPr>
          <w:sz w:val="20"/>
        </w:rPr>
        <w:t xml:space="preserve"> </w:t>
      </w:r>
      <w:r w:rsidRPr="00643C95">
        <w:rPr>
          <w:i/>
          <w:sz w:val="20"/>
        </w:rPr>
        <w:t>Constitution Doesn’t Guarantee Right to Abortion</w:t>
      </w:r>
      <w:r w:rsidRPr="00643C95">
        <w:rPr>
          <w:sz w:val="20"/>
        </w:rPr>
        <w:t xml:space="preserve">, </w:t>
      </w:r>
      <w:r w:rsidRPr="00643C95">
        <w:rPr>
          <w:smallCaps/>
          <w:sz w:val="20"/>
          <w:szCs w:val="16"/>
        </w:rPr>
        <w:t>Newsmax</w:t>
      </w:r>
      <w:r w:rsidRPr="00643C95">
        <w:rPr>
          <w:sz w:val="20"/>
        </w:rPr>
        <w:t xml:space="preserve"> (Oct. 27, 2013), https://www.newsmax.com/newsfront/dershowitz-constitution-abortion</w:t>
      </w:r>
      <w:r w:rsidRPr="00643C95">
        <w:rPr>
          <w:sz w:val="20"/>
        </w:rPr>
        <w:br/>
        <w:t>/2013/10/27/id/533294.</w:t>
      </w:r>
    </w:p>
  </w:footnote>
  <w:footnote w:id="11">
    <w:p w14:paraId="0F3693D1" w14:textId="79158A5D" w:rsidR="00A07403" w:rsidRPr="00643C95" w:rsidRDefault="00A07403" w:rsidP="00CD65AE">
      <w:pPr>
        <w:pStyle w:val="FootNote"/>
        <w:widowControl w:val="0"/>
        <w:rPr>
          <w:sz w:val="20"/>
        </w:rPr>
      </w:pPr>
      <w:r w:rsidRPr="00643C95">
        <w:rPr>
          <w:sz w:val="20"/>
        </w:rPr>
        <w:tab/>
      </w:r>
      <w:r w:rsidRPr="00643C95">
        <w:rPr>
          <w:rStyle w:val="NoterefInNote"/>
          <w:sz w:val="20"/>
        </w:rPr>
        <w:footnoteRef/>
      </w:r>
      <w:r w:rsidRPr="00643C95">
        <w:rPr>
          <w:sz w:val="20"/>
        </w:rPr>
        <w:t>.</w:t>
      </w:r>
      <w:r w:rsidRPr="00643C95">
        <w:rPr>
          <w:sz w:val="20"/>
        </w:rPr>
        <w:tab/>
        <w:t>U</w:t>
      </w:r>
      <w:r w:rsidRPr="00643C95">
        <w:rPr>
          <w:smallCaps/>
          <w:sz w:val="20"/>
        </w:rPr>
        <w:t xml:space="preserve">.S. </w:t>
      </w:r>
      <w:r w:rsidRPr="00643C95">
        <w:rPr>
          <w:smallCaps/>
          <w:sz w:val="20"/>
          <w:szCs w:val="16"/>
        </w:rPr>
        <w:t>Const</w:t>
      </w:r>
      <w:r w:rsidRPr="00643C95">
        <w:rPr>
          <w:sz w:val="20"/>
        </w:rPr>
        <w:t xml:space="preserve">. art. III, § 3. </w:t>
      </w:r>
    </w:p>
  </w:footnote>
  <w:footnote w:id="12">
    <w:p w14:paraId="3BD16895" w14:textId="37AF3120" w:rsidR="00A07403" w:rsidRPr="00643C95" w:rsidRDefault="00A07403" w:rsidP="00CD65AE">
      <w:pPr>
        <w:pStyle w:val="FootNote"/>
        <w:widowControl w:val="0"/>
        <w:rPr>
          <w:sz w:val="20"/>
        </w:rPr>
      </w:pPr>
      <w:r w:rsidRPr="00643C95">
        <w:rPr>
          <w:sz w:val="20"/>
        </w:rPr>
        <w:tab/>
      </w:r>
      <w:r w:rsidRPr="00643C95">
        <w:rPr>
          <w:rStyle w:val="NoterefInNote"/>
          <w:sz w:val="20"/>
        </w:rPr>
        <w:footnoteRef/>
      </w:r>
      <w:r w:rsidRPr="00643C95">
        <w:rPr>
          <w:sz w:val="20"/>
        </w:rPr>
        <w:t>.</w:t>
      </w:r>
      <w:r w:rsidRPr="00643C95">
        <w:rPr>
          <w:sz w:val="20"/>
        </w:rPr>
        <w:tab/>
      </w:r>
      <w:r w:rsidRPr="00643C95">
        <w:rPr>
          <w:i/>
          <w:sz w:val="20"/>
        </w:rPr>
        <w:t>See</w:t>
      </w:r>
      <w:r w:rsidRPr="00643C95">
        <w:rPr>
          <w:sz w:val="20"/>
        </w:rPr>
        <w:t xml:space="preserve"> </w:t>
      </w:r>
      <w:r w:rsidRPr="00643C95">
        <w:rPr>
          <w:smallCaps/>
          <w:sz w:val="20"/>
        </w:rPr>
        <w:t>Dershowitz</w:t>
      </w:r>
      <w:r w:rsidRPr="00643C95">
        <w:rPr>
          <w:sz w:val="20"/>
        </w:rPr>
        <w:t xml:space="preserve">, </w:t>
      </w:r>
      <w:r w:rsidRPr="00643C95">
        <w:rPr>
          <w:i/>
          <w:sz w:val="20"/>
        </w:rPr>
        <w:t>supra</w:t>
      </w:r>
      <w:r w:rsidRPr="00643C95">
        <w:rPr>
          <w:sz w:val="20"/>
        </w:rPr>
        <w:t xml:space="preserve"> note </w:t>
      </w:r>
      <w:r w:rsidRPr="00643C95">
        <w:rPr>
          <w:sz w:val="20"/>
          <w:szCs w:val="16"/>
        </w:rPr>
        <w:fldChar w:fldCharType="begin"/>
      </w:r>
      <w:r w:rsidRPr="00643C95">
        <w:rPr>
          <w:sz w:val="20"/>
          <w:szCs w:val="16"/>
        </w:rPr>
        <w:instrText xml:space="preserve"> NOTEREF _Ref526953712 \h </w:instrText>
      </w:r>
      <w:r w:rsidRPr="00643C95">
        <w:rPr>
          <w:sz w:val="20"/>
          <w:szCs w:val="16"/>
        </w:rPr>
      </w:r>
      <w:r w:rsidR="00643C95" w:rsidRPr="00643C95">
        <w:rPr>
          <w:sz w:val="20"/>
          <w:szCs w:val="16"/>
        </w:rPr>
        <w:instrText xml:space="preserve"> \* MERGEFORMAT </w:instrText>
      </w:r>
      <w:r w:rsidRPr="00643C95">
        <w:rPr>
          <w:sz w:val="20"/>
          <w:szCs w:val="16"/>
        </w:rPr>
        <w:fldChar w:fldCharType="separate"/>
      </w:r>
      <w:r w:rsidR="00643C95" w:rsidRPr="00643C95">
        <w:rPr>
          <w:sz w:val="20"/>
          <w:szCs w:val="16"/>
        </w:rPr>
        <w:t>1</w:t>
      </w:r>
      <w:r w:rsidRPr="00643C95">
        <w:rPr>
          <w:sz w:val="20"/>
          <w:szCs w:val="16"/>
        </w:rPr>
        <w:fldChar w:fldCharType="end"/>
      </w:r>
      <w:r w:rsidRPr="00643C95">
        <w:rPr>
          <w:sz w:val="20"/>
        </w:rPr>
        <w:t>, at 3.</w:t>
      </w:r>
    </w:p>
  </w:footnote>
  <w:footnote w:id="13">
    <w:p w14:paraId="15B8F2E9" w14:textId="56FC571D" w:rsidR="00A07403" w:rsidRPr="00643C95" w:rsidRDefault="00A07403" w:rsidP="00433301">
      <w:pPr>
        <w:pStyle w:val="FootNote"/>
        <w:widowControl w:val="0"/>
        <w:rPr>
          <w:sz w:val="20"/>
        </w:rPr>
      </w:pPr>
      <w:r w:rsidRPr="00643C95">
        <w:rPr>
          <w:sz w:val="20"/>
        </w:rPr>
        <w:tab/>
      </w:r>
      <w:r w:rsidRPr="00643C95">
        <w:rPr>
          <w:rStyle w:val="NoterefInNote"/>
          <w:sz w:val="20"/>
        </w:rPr>
        <w:footnoteRef/>
      </w:r>
      <w:r w:rsidRPr="00643C95">
        <w:rPr>
          <w:sz w:val="20"/>
        </w:rPr>
        <w:t>.</w:t>
      </w:r>
      <w:r w:rsidRPr="00643C95">
        <w:rPr>
          <w:sz w:val="20"/>
        </w:rPr>
        <w:tab/>
      </w:r>
      <w:r w:rsidRPr="00643C95">
        <w:rPr>
          <w:i/>
          <w:sz w:val="20"/>
        </w:rPr>
        <w:t xml:space="preserve">See </w:t>
      </w:r>
      <w:r w:rsidRPr="00643C95">
        <w:rPr>
          <w:smallCaps/>
          <w:sz w:val="20"/>
        </w:rPr>
        <w:t>Dershowitz</w:t>
      </w:r>
      <w:r w:rsidRPr="00643C95">
        <w:rPr>
          <w:sz w:val="20"/>
        </w:rPr>
        <w:t xml:space="preserve">, </w:t>
      </w:r>
      <w:r w:rsidRPr="00643C95">
        <w:rPr>
          <w:i/>
          <w:sz w:val="20"/>
        </w:rPr>
        <w:t>supra</w:t>
      </w:r>
      <w:r w:rsidRPr="00643C95">
        <w:rPr>
          <w:sz w:val="20"/>
        </w:rPr>
        <w:t xml:space="preserve"> note </w:t>
      </w:r>
      <w:r w:rsidRPr="00643C95">
        <w:rPr>
          <w:sz w:val="20"/>
          <w:szCs w:val="16"/>
        </w:rPr>
        <w:fldChar w:fldCharType="begin"/>
      </w:r>
      <w:r w:rsidRPr="00643C95">
        <w:rPr>
          <w:sz w:val="20"/>
          <w:szCs w:val="16"/>
        </w:rPr>
        <w:instrText xml:space="preserve"> NOTEREF _Ref526953712 \h </w:instrText>
      </w:r>
      <w:r w:rsidRPr="00643C95">
        <w:rPr>
          <w:sz w:val="20"/>
          <w:szCs w:val="16"/>
        </w:rPr>
      </w:r>
      <w:r w:rsidR="00643C95" w:rsidRPr="00643C95">
        <w:rPr>
          <w:sz w:val="20"/>
          <w:szCs w:val="16"/>
        </w:rPr>
        <w:instrText xml:space="preserve"> \* MERGEFORMAT </w:instrText>
      </w:r>
      <w:r w:rsidRPr="00643C95">
        <w:rPr>
          <w:sz w:val="20"/>
          <w:szCs w:val="16"/>
        </w:rPr>
        <w:fldChar w:fldCharType="separate"/>
      </w:r>
      <w:r w:rsidR="00643C95" w:rsidRPr="00643C95">
        <w:rPr>
          <w:sz w:val="20"/>
          <w:szCs w:val="16"/>
        </w:rPr>
        <w:t>1</w:t>
      </w:r>
      <w:r w:rsidRPr="00643C95">
        <w:rPr>
          <w:sz w:val="20"/>
          <w:szCs w:val="16"/>
        </w:rPr>
        <w:fldChar w:fldCharType="end"/>
      </w:r>
      <w:r w:rsidRPr="00643C95">
        <w:rPr>
          <w:sz w:val="20"/>
          <w:szCs w:val="16"/>
        </w:rPr>
        <w:t>, at 2–3, 10.</w:t>
      </w:r>
    </w:p>
  </w:footnote>
  <w:footnote w:id="14">
    <w:p w14:paraId="6BA5E3AF" w14:textId="2A5986F6" w:rsidR="00A07403" w:rsidRPr="00643C95" w:rsidRDefault="00A07403" w:rsidP="00CD65AE">
      <w:pPr>
        <w:pStyle w:val="FootNote"/>
        <w:widowControl w:val="0"/>
        <w:rPr>
          <w:sz w:val="20"/>
        </w:rPr>
      </w:pPr>
      <w:r w:rsidRPr="00643C95">
        <w:rPr>
          <w:sz w:val="20"/>
        </w:rPr>
        <w:tab/>
      </w:r>
      <w:r w:rsidRPr="00643C95">
        <w:rPr>
          <w:rStyle w:val="NoterefInNote"/>
          <w:sz w:val="20"/>
        </w:rPr>
        <w:footnoteRef/>
      </w:r>
      <w:r w:rsidRPr="00643C95">
        <w:rPr>
          <w:sz w:val="20"/>
        </w:rPr>
        <w:t>.</w:t>
      </w:r>
      <w:r w:rsidRPr="00643C95">
        <w:rPr>
          <w:sz w:val="20"/>
        </w:rPr>
        <w:tab/>
      </w:r>
      <w:r w:rsidRPr="00643C95">
        <w:rPr>
          <w:i/>
          <w:sz w:val="20"/>
        </w:rPr>
        <w:t>Id</w:t>
      </w:r>
      <w:r w:rsidRPr="00643C95">
        <w:rPr>
          <w:sz w:val="20"/>
        </w:rPr>
        <w:t>. at 3–7.</w:t>
      </w:r>
    </w:p>
  </w:footnote>
  <w:footnote w:id="15">
    <w:p w14:paraId="15F0E687" w14:textId="479B4E34" w:rsidR="00A07403" w:rsidRPr="00643C95" w:rsidRDefault="00A07403" w:rsidP="00433301">
      <w:pPr>
        <w:pStyle w:val="FootNote"/>
        <w:widowControl w:val="0"/>
        <w:rPr>
          <w:sz w:val="20"/>
        </w:rPr>
      </w:pPr>
      <w:r w:rsidRPr="00643C95">
        <w:rPr>
          <w:sz w:val="20"/>
        </w:rPr>
        <w:tab/>
      </w:r>
      <w:r w:rsidRPr="00643C95">
        <w:rPr>
          <w:rStyle w:val="NoterefInNote"/>
          <w:sz w:val="20"/>
        </w:rPr>
        <w:footnoteRef/>
      </w:r>
      <w:r w:rsidRPr="00643C95">
        <w:rPr>
          <w:sz w:val="20"/>
        </w:rPr>
        <w:t>.</w:t>
      </w:r>
      <w:r w:rsidRPr="00643C95">
        <w:rPr>
          <w:sz w:val="20"/>
        </w:rPr>
        <w:tab/>
      </w:r>
      <w:r w:rsidRPr="00643C95">
        <w:rPr>
          <w:i/>
          <w:sz w:val="20"/>
        </w:rPr>
        <w:t>Id</w:t>
      </w:r>
      <w:r w:rsidRPr="00643C95">
        <w:rPr>
          <w:sz w:val="20"/>
        </w:rPr>
        <w:t>. at 12.</w:t>
      </w:r>
    </w:p>
  </w:footnote>
  <w:footnote w:id="16">
    <w:p w14:paraId="06EADD5F" w14:textId="15A9280E" w:rsidR="00A07403" w:rsidRPr="00643C95" w:rsidRDefault="00A07403" w:rsidP="00433301">
      <w:pPr>
        <w:pStyle w:val="FootNote"/>
        <w:widowControl w:val="0"/>
        <w:rPr>
          <w:sz w:val="20"/>
        </w:rPr>
      </w:pPr>
      <w:r w:rsidRPr="00643C95">
        <w:rPr>
          <w:sz w:val="20"/>
        </w:rPr>
        <w:tab/>
      </w:r>
      <w:r w:rsidRPr="00643C95">
        <w:rPr>
          <w:rStyle w:val="NoterefInNote"/>
          <w:sz w:val="20"/>
        </w:rPr>
        <w:footnoteRef/>
      </w:r>
      <w:r w:rsidRPr="00643C95">
        <w:rPr>
          <w:sz w:val="20"/>
        </w:rPr>
        <w:t>.</w:t>
      </w:r>
      <w:r w:rsidRPr="00643C95">
        <w:rPr>
          <w:sz w:val="20"/>
        </w:rPr>
        <w:tab/>
      </w:r>
      <w:r w:rsidRPr="00643C95">
        <w:rPr>
          <w:i/>
          <w:sz w:val="20"/>
        </w:rPr>
        <w:t>Id</w:t>
      </w:r>
      <w:r w:rsidRPr="00643C95">
        <w:rPr>
          <w:sz w:val="20"/>
        </w:rPr>
        <w:t>. at 7–8.</w:t>
      </w:r>
    </w:p>
  </w:footnote>
  <w:footnote w:id="17">
    <w:p w14:paraId="561C9C52" w14:textId="7687019A" w:rsidR="00A07403" w:rsidRPr="00643C95" w:rsidRDefault="00A07403" w:rsidP="00CD65AE">
      <w:pPr>
        <w:pStyle w:val="FootNote"/>
        <w:widowControl w:val="0"/>
        <w:rPr>
          <w:sz w:val="20"/>
        </w:rPr>
      </w:pPr>
      <w:r w:rsidRPr="00643C95">
        <w:rPr>
          <w:sz w:val="20"/>
        </w:rPr>
        <w:tab/>
      </w:r>
      <w:r w:rsidRPr="00643C95">
        <w:rPr>
          <w:rStyle w:val="NoterefInNote"/>
          <w:sz w:val="20"/>
        </w:rPr>
        <w:footnoteRef/>
      </w:r>
      <w:r w:rsidRPr="00643C95">
        <w:rPr>
          <w:sz w:val="20"/>
        </w:rPr>
        <w:t>.</w:t>
      </w:r>
      <w:r w:rsidRPr="00643C95">
        <w:rPr>
          <w:sz w:val="20"/>
        </w:rPr>
        <w:tab/>
        <w:t xml:space="preserve">Dershowitz’s attack on the “ejusdem generis” argument is peculiar. He says that that the argument is built on a ‘logical fallacy’ but (1) that’s </w:t>
      </w:r>
      <w:proofErr w:type="gramStart"/>
      <w:r w:rsidRPr="00643C95">
        <w:rPr>
          <w:sz w:val="20"/>
        </w:rPr>
        <w:t>absolutely untrue</w:t>
      </w:r>
      <w:proofErr w:type="gramEnd"/>
      <w:r w:rsidRPr="00643C95">
        <w:rPr>
          <w:sz w:val="20"/>
        </w:rPr>
        <w:t xml:space="preserve"> because this argument is based on the basics of grammar and (2) he doesn’t back up his point. Further, he goes on to talk about how a crime is needed. But we have that in Trump’s case: obstruction of justice. </w:t>
      </w:r>
    </w:p>
  </w:footnote>
  <w:footnote w:id="18">
    <w:p w14:paraId="200FFD26" w14:textId="29A6E01C" w:rsidR="00A07403" w:rsidRPr="00643C95" w:rsidRDefault="00A07403" w:rsidP="00194665">
      <w:pPr>
        <w:pStyle w:val="FootNote"/>
        <w:widowControl w:val="0"/>
        <w:rPr>
          <w:sz w:val="20"/>
        </w:rPr>
      </w:pPr>
      <w:r w:rsidRPr="00643C95">
        <w:rPr>
          <w:sz w:val="20"/>
        </w:rPr>
        <w:tab/>
      </w:r>
      <w:r w:rsidRPr="00643C95">
        <w:rPr>
          <w:rStyle w:val="NoterefInNote"/>
          <w:sz w:val="20"/>
        </w:rPr>
        <w:footnoteRef/>
      </w:r>
      <w:r w:rsidRPr="00643C95">
        <w:rPr>
          <w:sz w:val="20"/>
        </w:rPr>
        <w:t>.</w:t>
      </w:r>
      <w:r w:rsidRPr="00643C95">
        <w:rPr>
          <w:sz w:val="20"/>
        </w:rPr>
        <w:tab/>
      </w:r>
      <w:r w:rsidRPr="00643C95">
        <w:rPr>
          <w:i/>
          <w:sz w:val="20"/>
        </w:rPr>
        <w:t>See</w:t>
      </w:r>
      <w:r w:rsidRPr="00643C95">
        <w:rPr>
          <w:sz w:val="20"/>
        </w:rPr>
        <w:t xml:space="preserve"> </w:t>
      </w:r>
      <w:r w:rsidRPr="00643C95">
        <w:rPr>
          <w:smallCaps/>
          <w:sz w:val="20"/>
        </w:rPr>
        <w:t>Dershowitz</w:t>
      </w:r>
      <w:r w:rsidRPr="00643C95">
        <w:rPr>
          <w:sz w:val="20"/>
        </w:rPr>
        <w:t xml:space="preserve">, </w:t>
      </w:r>
      <w:r w:rsidRPr="00643C95">
        <w:rPr>
          <w:i/>
          <w:sz w:val="20"/>
        </w:rPr>
        <w:t>supra</w:t>
      </w:r>
      <w:r w:rsidRPr="00643C95">
        <w:rPr>
          <w:sz w:val="20"/>
        </w:rPr>
        <w:t xml:space="preserve"> note </w:t>
      </w:r>
      <w:r w:rsidRPr="00643C95">
        <w:rPr>
          <w:sz w:val="20"/>
          <w:szCs w:val="16"/>
        </w:rPr>
        <w:fldChar w:fldCharType="begin"/>
      </w:r>
      <w:r w:rsidRPr="00643C95">
        <w:rPr>
          <w:sz w:val="20"/>
          <w:szCs w:val="16"/>
        </w:rPr>
        <w:instrText xml:space="preserve"> NOTEREF _Ref526953712 \h </w:instrText>
      </w:r>
      <w:r w:rsidRPr="00643C95">
        <w:rPr>
          <w:sz w:val="20"/>
          <w:szCs w:val="16"/>
        </w:rPr>
      </w:r>
      <w:r w:rsidR="00643C95" w:rsidRPr="00643C95">
        <w:rPr>
          <w:sz w:val="20"/>
          <w:szCs w:val="16"/>
        </w:rPr>
        <w:instrText xml:space="preserve"> \* MERGEFORMAT </w:instrText>
      </w:r>
      <w:r w:rsidRPr="00643C95">
        <w:rPr>
          <w:sz w:val="20"/>
          <w:szCs w:val="16"/>
        </w:rPr>
        <w:fldChar w:fldCharType="separate"/>
      </w:r>
      <w:r w:rsidR="00643C95" w:rsidRPr="00643C95">
        <w:rPr>
          <w:sz w:val="20"/>
          <w:szCs w:val="16"/>
        </w:rPr>
        <w:t>1</w:t>
      </w:r>
      <w:r w:rsidRPr="00643C95">
        <w:rPr>
          <w:sz w:val="20"/>
          <w:szCs w:val="16"/>
        </w:rPr>
        <w:fldChar w:fldCharType="end"/>
      </w:r>
      <w:r w:rsidRPr="00643C95">
        <w:rPr>
          <w:sz w:val="20"/>
        </w:rPr>
        <w:t>, at, 17.</w:t>
      </w:r>
    </w:p>
  </w:footnote>
  <w:footnote w:id="19">
    <w:p w14:paraId="22A5D76C" w14:textId="17ADDC32" w:rsidR="00A07403" w:rsidRPr="00643C95" w:rsidRDefault="00A07403" w:rsidP="00CD65AE">
      <w:pPr>
        <w:pStyle w:val="FootNote"/>
        <w:widowControl w:val="0"/>
        <w:rPr>
          <w:sz w:val="20"/>
        </w:rPr>
      </w:pPr>
      <w:r w:rsidRPr="00643C95">
        <w:rPr>
          <w:sz w:val="20"/>
        </w:rPr>
        <w:tab/>
      </w:r>
      <w:r w:rsidRPr="00643C95">
        <w:rPr>
          <w:rStyle w:val="NoterefInNote"/>
          <w:sz w:val="20"/>
        </w:rPr>
        <w:footnoteRef/>
      </w:r>
      <w:r w:rsidRPr="00643C95">
        <w:rPr>
          <w:sz w:val="20"/>
        </w:rPr>
        <w:t>.</w:t>
      </w:r>
      <w:r w:rsidRPr="00643C95">
        <w:rPr>
          <w:sz w:val="20"/>
        </w:rPr>
        <w:tab/>
      </w:r>
      <w:r w:rsidRPr="00643C95">
        <w:rPr>
          <w:bCs/>
          <w:sz w:val="20"/>
        </w:rPr>
        <w:t>Thomas Emerson,</w:t>
      </w:r>
      <w:r w:rsidRPr="00643C95">
        <w:rPr>
          <w:sz w:val="20"/>
        </w:rPr>
        <w:t xml:space="preserve"> </w:t>
      </w:r>
      <w:r w:rsidRPr="00643C95">
        <w:rPr>
          <w:bCs/>
          <w:i/>
          <w:sz w:val="20"/>
        </w:rPr>
        <w:t>Impeachment: The Constitutional Problems</w:t>
      </w:r>
      <w:r w:rsidRPr="00643C95">
        <w:rPr>
          <w:bCs/>
          <w:sz w:val="20"/>
        </w:rPr>
        <w:t xml:space="preserve">, 74 </w:t>
      </w:r>
      <w:r w:rsidRPr="00643C95">
        <w:rPr>
          <w:bCs/>
          <w:smallCaps/>
          <w:sz w:val="20"/>
        </w:rPr>
        <w:t>Colum. L. Rev</w:t>
      </w:r>
      <w:r w:rsidRPr="00643C95">
        <w:rPr>
          <w:bCs/>
          <w:sz w:val="20"/>
        </w:rPr>
        <w:t xml:space="preserve">. 131, 131 (1974) (emphasis added). </w:t>
      </w:r>
    </w:p>
  </w:footnote>
  <w:footnote w:id="20">
    <w:p w14:paraId="4F4617B6" w14:textId="02701408" w:rsidR="00A07403" w:rsidRPr="00643C95" w:rsidRDefault="00A07403" w:rsidP="00CD65AE">
      <w:pPr>
        <w:pStyle w:val="FootNote"/>
        <w:widowControl w:val="0"/>
        <w:rPr>
          <w:sz w:val="20"/>
        </w:rPr>
      </w:pPr>
      <w:r w:rsidRPr="00643C95">
        <w:rPr>
          <w:sz w:val="20"/>
        </w:rPr>
        <w:tab/>
      </w:r>
      <w:r w:rsidRPr="00643C95">
        <w:rPr>
          <w:rStyle w:val="NoterefInNote"/>
          <w:sz w:val="20"/>
        </w:rPr>
        <w:footnoteRef/>
      </w:r>
      <w:r w:rsidRPr="00643C95">
        <w:rPr>
          <w:sz w:val="20"/>
        </w:rPr>
        <w:t>.</w:t>
      </w:r>
      <w:r w:rsidRPr="00643C95">
        <w:rPr>
          <w:sz w:val="20"/>
        </w:rPr>
        <w:tab/>
        <w:t xml:space="preserve">John O. McGinnis, </w:t>
      </w:r>
      <w:r w:rsidRPr="00643C95">
        <w:rPr>
          <w:bCs/>
          <w:i/>
          <w:sz w:val="20"/>
        </w:rPr>
        <w:t>Impeachment: The Structural Understanding</w:t>
      </w:r>
      <w:r w:rsidRPr="00643C95">
        <w:rPr>
          <w:sz w:val="20"/>
        </w:rPr>
        <w:t xml:space="preserve">, </w:t>
      </w:r>
      <w:r w:rsidRPr="00643C95">
        <w:rPr>
          <w:bCs/>
          <w:sz w:val="20"/>
        </w:rPr>
        <w:t xml:space="preserve">67 </w:t>
      </w:r>
      <w:r w:rsidRPr="00643C95">
        <w:rPr>
          <w:bCs/>
          <w:smallCaps/>
          <w:sz w:val="20"/>
        </w:rPr>
        <w:t>Geo. Wash. L. Rev</w:t>
      </w:r>
      <w:r w:rsidRPr="00643C95">
        <w:rPr>
          <w:bCs/>
          <w:sz w:val="20"/>
        </w:rPr>
        <w:t xml:space="preserve">. 650, 653 (1999). </w:t>
      </w:r>
    </w:p>
  </w:footnote>
  <w:footnote w:id="21">
    <w:p w14:paraId="4F0873EA" w14:textId="3EE7B14C" w:rsidR="00A07403" w:rsidRPr="00643C95" w:rsidRDefault="00A07403" w:rsidP="00CD65AE">
      <w:pPr>
        <w:pStyle w:val="FootNote"/>
        <w:widowControl w:val="0"/>
        <w:rPr>
          <w:bCs/>
          <w:sz w:val="20"/>
        </w:rPr>
      </w:pPr>
      <w:r w:rsidRPr="00643C95">
        <w:rPr>
          <w:sz w:val="20"/>
        </w:rPr>
        <w:tab/>
      </w:r>
      <w:r w:rsidRPr="00643C95">
        <w:rPr>
          <w:rStyle w:val="NoterefInNote"/>
          <w:sz w:val="20"/>
        </w:rPr>
        <w:footnoteRef/>
      </w:r>
      <w:r w:rsidRPr="00643C95">
        <w:rPr>
          <w:sz w:val="20"/>
        </w:rPr>
        <w:t>.</w:t>
      </w:r>
      <w:r w:rsidRPr="00643C95">
        <w:rPr>
          <w:sz w:val="20"/>
        </w:rPr>
        <w:tab/>
      </w:r>
      <w:r w:rsidRPr="00643C95">
        <w:rPr>
          <w:i/>
          <w:sz w:val="20"/>
        </w:rPr>
        <w:t xml:space="preserve">See generally </w:t>
      </w:r>
      <w:r w:rsidRPr="00643C95">
        <w:rPr>
          <w:sz w:val="20"/>
        </w:rPr>
        <w:t xml:space="preserve">Mark </w:t>
      </w:r>
      <w:proofErr w:type="spellStart"/>
      <w:r w:rsidRPr="00643C95">
        <w:rPr>
          <w:sz w:val="20"/>
        </w:rPr>
        <w:t>Slusar</w:t>
      </w:r>
      <w:proofErr w:type="spellEnd"/>
      <w:r w:rsidRPr="00643C95">
        <w:rPr>
          <w:sz w:val="20"/>
        </w:rPr>
        <w:t xml:space="preserve">, Comment, </w:t>
      </w:r>
      <w:r w:rsidRPr="00643C95">
        <w:rPr>
          <w:bCs/>
          <w:i/>
          <w:sz w:val="20"/>
        </w:rPr>
        <w:t>The Confusion Defined: Questions and Problems of Process in The Aftermath of the Clinton Impeachment</w:t>
      </w:r>
      <w:r w:rsidRPr="00643C95">
        <w:rPr>
          <w:sz w:val="20"/>
        </w:rPr>
        <w:t xml:space="preserve">, 49 </w:t>
      </w:r>
      <w:r w:rsidRPr="00643C95">
        <w:rPr>
          <w:smallCaps/>
          <w:sz w:val="20"/>
        </w:rPr>
        <w:t>Case W. Res. L. Rev.</w:t>
      </w:r>
      <w:r w:rsidRPr="00643C95">
        <w:rPr>
          <w:sz w:val="20"/>
        </w:rPr>
        <w:t xml:space="preserve"> 869 (1999). </w:t>
      </w:r>
    </w:p>
  </w:footnote>
  <w:footnote w:id="22">
    <w:p w14:paraId="1253A6D6" w14:textId="59899430" w:rsidR="00A07403" w:rsidRPr="00643C95" w:rsidRDefault="00A07403" w:rsidP="00CD65AE">
      <w:pPr>
        <w:pStyle w:val="FootNote"/>
        <w:widowControl w:val="0"/>
        <w:rPr>
          <w:sz w:val="20"/>
        </w:rPr>
      </w:pPr>
      <w:r w:rsidRPr="00643C95">
        <w:rPr>
          <w:sz w:val="20"/>
        </w:rPr>
        <w:tab/>
      </w:r>
      <w:r w:rsidRPr="00643C95">
        <w:rPr>
          <w:rStyle w:val="NoterefInNote"/>
          <w:sz w:val="20"/>
        </w:rPr>
        <w:footnoteRef/>
      </w:r>
      <w:r w:rsidRPr="00643C95">
        <w:rPr>
          <w:sz w:val="20"/>
        </w:rPr>
        <w:t>.</w:t>
      </w:r>
      <w:r w:rsidRPr="00643C95">
        <w:rPr>
          <w:sz w:val="20"/>
        </w:rPr>
        <w:tab/>
      </w:r>
      <w:r w:rsidRPr="00643C95">
        <w:rPr>
          <w:i/>
          <w:sz w:val="20"/>
        </w:rPr>
        <w:t>Id.</w:t>
      </w:r>
      <w:r w:rsidRPr="00643C95">
        <w:rPr>
          <w:sz w:val="20"/>
        </w:rPr>
        <w:t xml:space="preserve"> at 872.</w:t>
      </w:r>
    </w:p>
  </w:footnote>
  <w:footnote w:id="23">
    <w:p w14:paraId="2E341684" w14:textId="3DDFF98E" w:rsidR="00A07403" w:rsidRPr="00643C95" w:rsidRDefault="00A07403" w:rsidP="00CD65AE">
      <w:pPr>
        <w:pStyle w:val="FootNote"/>
        <w:widowControl w:val="0"/>
        <w:rPr>
          <w:b/>
          <w:bCs/>
          <w:sz w:val="20"/>
        </w:rPr>
      </w:pPr>
      <w:r w:rsidRPr="00643C95">
        <w:rPr>
          <w:sz w:val="20"/>
        </w:rPr>
        <w:tab/>
      </w:r>
      <w:r w:rsidRPr="00643C95">
        <w:rPr>
          <w:rStyle w:val="NoterefInNote"/>
          <w:sz w:val="20"/>
        </w:rPr>
        <w:footnoteRef/>
      </w:r>
      <w:r w:rsidRPr="00643C95">
        <w:rPr>
          <w:sz w:val="20"/>
        </w:rPr>
        <w:t>.</w:t>
      </w:r>
      <w:r w:rsidRPr="00643C95">
        <w:rPr>
          <w:sz w:val="20"/>
        </w:rPr>
        <w:tab/>
      </w:r>
      <w:r w:rsidRPr="00643C95">
        <w:rPr>
          <w:i/>
          <w:sz w:val="20"/>
        </w:rPr>
        <w:t>See generally, e.g.</w:t>
      </w:r>
      <w:r w:rsidRPr="00643C95">
        <w:rPr>
          <w:sz w:val="20"/>
        </w:rPr>
        <w:t>,</w:t>
      </w:r>
      <w:r w:rsidRPr="00643C95">
        <w:rPr>
          <w:i/>
          <w:sz w:val="20"/>
        </w:rPr>
        <w:t xml:space="preserve"> </w:t>
      </w:r>
      <w:r w:rsidRPr="00643C95">
        <w:rPr>
          <w:sz w:val="20"/>
        </w:rPr>
        <w:t xml:space="preserve">Lawrence Tribe, </w:t>
      </w:r>
      <w:r w:rsidRPr="00643C95">
        <w:rPr>
          <w:bCs/>
          <w:i/>
          <w:sz w:val="20"/>
        </w:rPr>
        <w:t xml:space="preserve">Defining “High Crimes </w:t>
      </w:r>
      <w:proofErr w:type="gramStart"/>
      <w:r w:rsidRPr="00643C95">
        <w:rPr>
          <w:bCs/>
          <w:i/>
          <w:sz w:val="20"/>
        </w:rPr>
        <w:t>And</w:t>
      </w:r>
      <w:proofErr w:type="gramEnd"/>
      <w:r w:rsidRPr="00643C95">
        <w:rPr>
          <w:bCs/>
          <w:i/>
          <w:sz w:val="20"/>
        </w:rPr>
        <w:t xml:space="preserve"> Misdemeanors”: Basic Principles</w:t>
      </w:r>
      <w:r w:rsidRPr="00643C95">
        <w:rPr>
          <w:sz w:val="20"/>
        </w:rPr>
        <w:t xml:space="preserve">, 67 </w:t>
      </w:r>
      <w:r w:rsidRPr="00643C95">
        <w:rPr>
          <w:smallCaps/>
          <w:sz w:val="20"/>
        </w:rPr>
        <w:t>Geo. Wash. L. Rev</w:t>
      </w:r>
      <w:r w:rsidRPr="00643C95">
        <w:rPr>
          <w:sz w:val="20"/>
        </w:rPr>
        <w:t xml:space="preserve">. 712 (1999). </w:t>
      </w:r>
    </w:p>
  </w:footnote>
  <w:footnote w:id="24">
    <w:p w14:paraId="1F509754" w14:textId="54758F4E" w:rsidR="00A07403" w:rsidRPr="00643C95" w:rsidRDefault="00A07403" w:rsidP="00CD65AE">
      <w:pPr>
        <w:pStyle w:val="FootNote"/>
        <w:widowControl w:val="0"/>
        <w:rPr>
          <w:sz w:val="20"/>
        </w:rPr>
      </w:pPr>
      <w:r w:rsidRPr="00643C95">
        <w:rPr>
          <w:sz w:val="20"/>
        </w:rPr>
        <w:tab/>
      </w:r>
      <w:r w:rsidRPr="00643C95">
        <w:rPr>
          <w:rStyle w:val="NoterefInNote"/>
          <w:sz w:val="20"/>
        </w:rPr>
        <w:footnoteRef/>
      </w:r>
      <w:r w:rsidRPr="00643C95">
        <w:rPr>
          <w:sz w:val="20"/>
        </w:rPr>
        <w:t>.</w:t>
      </w:r>
      <w:r w:rsidRPr="00643C95">
        <w:rPr>
          <w:sz w:val="20"/>
        </w:rPr>
        <w:tab/>
      </w:r>
      <w:r w:rsidRPr="00643C95">
        <w:rPr>
          <w:i/>
          <w:sz w:val="20"/>
        </w:rPr>
        <w:t xml:space="preserve">Id. </w:t>
      </w:r>
      <w:r w:rsidRPr="00643C95">
        <w:rPr>
          <w:sz w:val="20"/>
        </w:rPr>
        <w:t>at 712–15.</w:t>
      </w:r>
    </w:p>
  </w:footnote>
  <w:footnote w:id="25">
    <w:p w14:paraId="71CA2F07" w14:textId="6667D5D7" w:rsidR="00A07403" w:rsidRPr="00643C95" w:rsidRDefault="00A07403" w:rsidP="00CD65AE">
      <w:pPr>
        <w:pStyle w:val="FootNote"/>
        <w:widowControl w:val="0"/>
        <w:rPr>
          <w:sz w:val="20"/>
        </w:rPr>
      </w:pPr>
      <w:r w:rsidRPr="00643C95">
        <w:rPr>
          <w:sz w:val="20"/>
        </w:rPr>
        <w:tab/>
      </w:r>
      <w:r w:rsidRPr="00643C95">
        <w:rPr>
          <w:rStyle w:val="NoterefInNote"/>
          <w:sz w:val="20"/>
        </w:rPr>
        <w:footnoteRef/>
      </w:r>
      <w:r w:rsidRPr="00643C95">
        <w:rPr>
          <w:sz w:val="20"/>
        </w:rPr>
        <w:t>.</w:t>
      </w:r>
      <w:r w:rsidRPr="00643C95">
        <w:rPr>
          <w:sz w:val="20"/>
        </w:rPr>
        <w:tab/>
        <w:t>Stephen B. Presser, </w:t>
      </w:r>
      <w:r w:rsidRPr="00643C95">
        <w:rPr>
          <w:i/>
          <w:sz w:val="20"/>
        </w:rPr>
        <w:t xml:space="preserve">Would George Washington Have Wanted Bill Clinton </w:t>
      </w:r>
      <w:proofErr w:type="gramStart"/>
      <w:r w:rsidRPr="00643C95">
        <w:rPr>
          <w:i/>
          <w:sz w:val="20"/>
        </w:rPr>
        <w:t>Impeached?</w:t>
      </w:r>
      <w:r w:rsidRPr="00643C95">
        <w:rPr>
          <w:sz w:val="20"/>
        </w:rPr>
        <w:t>,</w:t>
      </w:r>
      <w:proofErr w:type="gramEnd"/>
      <w:r w:rsidRPr="00643C95">
        <w:rPr>
          <w:sz w:val="20"/>
        </w:rPr>
        <w:t xml:space="preserve"> 67 </w:t>
      </w:r>
      <w:r w:rsidRPr="00643C95">
        <w:rPr>
          <w:smallCaps/>
          <w:sz w:val="20"/>
        </w:rPr>
        <w:t>Geo. Wash. L. Rev</w:t>
      </w:r>
      <w:r w:rsidRPr="00643C95">
        <w:rPr>
          <w:sz w:val="20"/>
        </w:rPr>
        <w:t>. 666, 676 (1999).</w:t>
      </w:r>
    </w:p>
  </w:footnote>
  <w:footnote w:id="26">
    <w:p w14:paraId="747B249D" w14:textId="38839078" w:rsidR="00A07403" w:rsidRPr="00643C95" w:rsidRDefault="00A07403" w:rsidP="00CD65AE">
      <w:pPr>
        <w:pStyle w:val="FootNote"/>
        <w:widowControl w:val="0"/>
        <w:rPr>
          <w:sz w:val="20"/>
        </w:rPr>
      </w:pPr>
      <w:r w:rsidRPr="00643C95">
        <w:rPr>
          <w:sz w:val="20"/>
        </w:rPr>
        <w:tab/>
      </w:r>
      <w:r w:rsidRPr="00643C95">
        <w:rPr>
          <w:rStyle w:val="NoterefInNote"/>
          <w:sz w:val="20"/>
        </w:rPr>
        <w:footnoteRef/>
      </w:r>
      <w:r w:rsidRPr="00643C95">
        <w:rPr>
          <w:sz w:val="20"/>
        </w:rPr>
        <w:t>.</w:t>
      </w:r>
      <w:r w:rsidRPr="00643C95">
        <w:rPr>
          <w:sz w:val="20"/>
        </w:rPr>
        <w:tab/>
        <w:t xml:space="preserve">Gary L. McDowell, </w:t>
      </w:r>
      <w:r w:rsidRPr="00643C95">
        <w:rPr>
          <w:i/>
          <w:sz w:val="20"/>
        </w:rPr>
        <w:t>“High Crimes and Misdemeanors”: Recovering the Intentions of the Founders</w:t>
      </w:r>
      <w:r w:rsidRPr="00643C95">
        <w:rPr>
          <w:sz w:val="20"/>
        </w:rPr>
        <w:t xml:space="preserve">, 67 </w:t>
      </w:r>
      <w:r w:rsidRPr="00643C95">
        <w:rPr>
          <w:smallCaps/>
          <w:sz w:val="20"/>
        </w:rPr>
        <w:t>Geo. Wash. L. Rev.</w:t>
      </w:r>
      <w:r w:rsidRPr="00643C95">
        <w:rPr>
          <w:sz w:val="20"/>
        </w:rPr>
        <w:t xml:space="preserve"> 626, 649 (1999). </w:t>
      </w:r>
    </w:p>
  </w:footnote>
  <w:footnote w:id="27">
    <w:p w14:paraId="33388BA7" w14:textId="2A4A0CA2" w:rsidR="00A07403" w:rsidRPr="00643C95" w:rsidRDefault="00A07403" w:rsidP="00CD65AE">
      <w:pPr>
        <w:pStyle w:val="FootNote"/>
        <w:widowControl w:val="0"/>
        <w:rPr>
          <w:sz w:val="20"/>
        </w:rPr>
      </w:pPr>
      <w:r w:rsidRPr="00643C95">
        <w:rPr>
          <w:sz w:val="20"/>
        </w:rPr>
        <w:tab/>
      </w:r>
      <w:r w:rsidRPr="00643C95">
        <w:rPr>
          <w:rStyle w:val="NoterefInNote"/>
          <w:sz w:val="20"/>
        </w:rPr>
        <w:footnoteRef/>
      </w:r>
      <w:r w:rsidRPr="00643C95">
        <w:rPr>
          <w:sz w:val="20"/>
        </w:rPr>
        <w:t>.</w:t>
      </w:r>
      <w:r w:rsidRPr="00643C95">
        <w:rPr>
          <w:sz w:val="20"/>
        </w:rPr>
        <w:tab/>
        <w:t>Cass R. Sunstein, </w:t>
      </w:r>
      <w:r w:rsidRPr="00643C95">
        <w:rPr>
          <w:i/>
          <w:sz w:val="20"/>
        </w:rPr>
        <w:t>Impeachment and Stability</w:t>
      </w:r>
      <w:r w:rsidRPr="00643C95">
        <w:rPr>
          <w:sz w:val="20"/>
        </w:rPr>
        <w:t xml:space="preserve">, 67 </w:t>
      </w:r>
      <w:r w:rsidRPr="00643C95">
        <w:rPr>
          <w:smallCaps/>
          <w:sz w:val="20"/>
        </w:rPr>
        <w:t>Geo Wash. L. Rev</w:t>
      </w:r>
      <w:r w:rsidRPr="00643C95">
        <w:rPr>
          <w:sz w:val="20"/>
        </w:rPr>
        <w:t>. 699, 711 (1999)</w:t>
      </w:r>
    </w:p>
  </w:footnote>
  <w:footnote w:id="28">
    <w:p w14:paraId="1B525FCF" w14:textId="01F04D38" w:rsidR="00A07403" w:rsidRPr="00643C95" w:rsidRDefault="00A07403" w:rsidP="00CD65AE">
      <w:pPr>
        <w:pStyle w:val="FootNote"/>
        <w:widowControl w:val="0"/>
        <w:rPr>
          <w:sz w:val="20"/>
        </w:rPr>
      </w:pPr>
      <w:r w:rsidRPr="00643C95">
        <w:rPr>
          <w:sz w:val="20"/>
        </w:rPr>
        <w:tab/>
      </w:r>
      <w:r w:rsidRPr="00643C95">
        <w:rPr>
          <w:rStyle w:val="NoterefInNote"/>
          <w:sz w:val="20"/>
        </w:rPr>
        <w:footnoteRef/>
      </w:r>
      <w:r w:rsidRPr="00643C95">
        <w:rPr>
          <w:sz w:val="20"/>
        </w:rPr>
        <w:t>.</w:t>
      </w:r>
      <w:r w:rsidRPr="00643C95">
        <w:rPr>
          <w:sz w:val="20"/>
        </w:rPr>
        <w:tab/>
      </w:r>
      <w:r w:rsidRPr="00643C95">
        <w:rPr>
          <w:i/>
          <w:sz w:val="20"/>
        </w:rPr>
        <w:t>See</w:t>
      </w:r>
      <w:r w:rsidRPr="00643C95">
        <w:rPr>
          <w:sz w:val="20"/>
        </w:rPr>
        <w:t xml:space="preserve"> </w:t>
      </w:r>
      <w:r w:rsidRPr="00643C95">
        <w:rPr>
          <w:smallCaps/>
          <w:sz w:val="20"/>
        </w:rPr>
        <w:t>Dershowitz</w:t>
      </w:r>
      <w:r w:rsidRPr="00643C95">
        <w:rPr>
          <w:sz w:val="20"/>
        </w:rPr>
        <w:t xml:space="preserve"> </w:t>
      </w:r>
      <w:r w:rsidRPr="00643C95">
        <w:rPr>
          <w:i/>
          <w:sz w:val="20"/>
        </w:rPr>
        <w:t>supra</w:t>
      </w:r>
      <w:r w:rsidRPr="00643C95">
        <w:rPr>
          <w:sz w:val="20"/>
        </w:rPr>
        <w:t xml:space="preserve"> note </w:t>
      </w:r>
      <w:r w:rsidRPr="00643C95">
        <w:rPr>
          <w:sz w:val="20"/>
        </w:rPr>
        <w:fldChar w:fldCharType="begin"/>
      </w:r>
      <w:r w:rsidRPr="00643C95">
        <w:rPr>
          <w:sz w:val="20"/>
        </w:rPr>
        <w:instrText xml:space="preserve"> NOTEREF _Ref526953712 \h </w:instrText>
      </w:r>
      <w:r w:rsidRPr="00643C95">
        <w:rPr>
          <w:sz w:val="20"/>
        </w:rPr>
      </w:r>
      <w:r w:rsidR="00643C95" w:rsidRPr="00643C95">
        <w:rPr>
          <w:sz w:val="20"/>
        </w:rPr>
        <w:instrText xml:space="preserve"> \* MERGEFORMAT </w:instrText>
      </w:r>
      <w:r w:rsidRPr="00643C95">
        <w:rPr>
          <w:sz w:val="20"/>
        </w:rPr>
        <w:fldChar w:fldCharType="separate"/>
      </w:r>
      <w:r w:rsidR="00643C95" w:rsidRPr="00643C95">
        <w:rPr>
          <w:sz w:val="20"/>
        </w:rPr>
        <w:t>1</w:t>
      </w:r>
      <w:r w:rsidRPr="00643C95">
        <w:rPr>
          <w:sz w:val="20"/>
        </w:rPr>
        <w:fldChar w:fldCharType="end"/>
      </w:r>
      <w:r w:rsidRPr="00643C95">
        <w:rPr>
          <w:sz w:val="20"/>
        </w:rPr>
        <w:t>, at 7–8.</w:t>
      </w:r>
    </w:p>
  </w:footnote>
  <w:footnote w:id="29">
    <w:p w14:paraId="42324F62" w14:textId="6E3211F5" w:rsidR="00A07403" w:rsidRPr="00643C95" w:rsidRDefault="00A07403" w:rsidP="00CD65AE">
      <w:pPr>
        <w:pStyle w:val="FootNote"/>
        <w:widowControl w:val="0"/>
        <w:rPr>
          <w:sz w:val="20"/>
        </w:rPr>
      </w:pPr>
      <w:r w:rsidRPr="00643C95">
        <w:rPr>
          <w:sz w:val="20"/>
        </w:rPr>
        <w:tab/>
      </w:r>
      <w:r w:rsidRPr="00643C95">
        <w:rPr>
          <w:rStyle w:val="NoterefInNote"/>
          <w:sz w:val="20"/>
        </w:rPr>
        <w:footnoteRef/>
      </w:r>
      <w:r w:rsidRPr="00643C95">
        <w:rPr>
          <w:sz w:val="20"/>
        </w:rPr>
        <w:t>.</w:t>
      </w:r>
      <w:r w:rsidRPr="00643C95">
        <w:rPr>
          <w:sz w:val="20"/>
        </w:rPr>
        <w:tab/>
      </w:r>
      <w:r w:rsidRPr="00643C95">
        <w:rPr>
          <w:i/>
          <w:sz w:val="20"/>
        </w:rPr>
        <w:t xml:space="preserve">See generally </w:t>
      </w:r>
      <w:r w:rsidRPr="00643C95">
        <w:rPr>
          <w:sz w:val="20"/>
        </w:rPr>
        <w:t xml:space="preserve">Linda </w:t>
      </w:r>
      <w:proofErr w:type="spellStart"/>
      <w:r w:rsidRPr="00643C95">
        <w:rPr>
          <w:sz w:val="20"/>
        </w:rPr>
        <w:t>Jellum</w:t>
      </w:r>
      <w:proofErr w:type="spellEnd"/>
      <w:r w:rsidRPr="00643C95">
        <w:rPr>
          <w:sz w:val="20"/>
        </w:rPr>
        <w:t xml:space="preserve">, </w:t>
      </w:r>
      <w:r w:rsidRPr="00643C95">
        <w:rPr>
          <w:bCs/>
          <w:i/>
          <w:sz w:val="20"/>
        </w:rPr>
        <w:t xml:space="preserve">The Art of Statutory Interpretation: Identifying </w:t>
      </w:r>
      <w:proofErr w:type="gramStart"/>
      <w:r w:rsidRPr="00643C95">
        <w:rPr>
          <w:bCs/>
          <w:i/>
          <w:sz w:val="20"/>
        </w:rPr>
        <w:t>The</w:t>
      </w:r>
      <w:proofErr w:type="gramEnd"/>
      <w:r w:rsidRPr="00643C95">
        <w:rPr>
          <w:bCs/>
          <w:i/>
          <w:sz w:val="20"/>
        </w:rPr>
        <w:t xml:space="preserve"> Interpretive Theory of the Judges of the United States Court of Appeals for Veterans’ Claims and the United States Court of Appeals for the Federal Circuit</w:t>
      </w:r>
      <w:r w:rsidRPr="00643C95">
        <w:rPr>
          <w:bCs/>
          <w:sz w:val="20"/>
        </w:rPr>
        <w:t xml:space="preserve">, 49 </w:t>
      </w:r>
      <w:r w:rsidRPr="00643C95">
        <w:rPr>
          <w:smallCaps/>
          <w:sz w:val="20"/>
          <w:szCs w:val="16"/>
        </w:rPr>
        <w:t>U. Louisville L. Rev.</w:t>
      </w:r>
      <w:r w:rsidRPr="00643C95">
        <w:rPr>
          <w:bCs/>
          <w:sz w:val="20"/>
        </w:rPr>
        <w:t xml:space="preserve"> 59 (2010); Elliot M. Davis, </w:t>
      </w:r>
      <w:r w:rsidRPr="00643C95">
        <w:rPr>
          <w:i/>
          <w:sz w:val="20"/>
          <w:szCs w:val="16"/>
        </w:rPr>
        <w:t>The Newer Textualism: Justice Alito’s Statutory Interpretation</w:t>
      </w:r>
      <w:r w:rsidRPr="00643C95">
        <w:rPr>
          <w:bCs/>
          <w:sz w:val="20"/>
        </w:rPr>
        <w:t xml:space="preserve">, 30 </w:t>
      </w:r>
      <w:proofErr w:type="spellStart"/>
      <w:r w:rsidRPr="00643C95">
        <w:rPr>
          <w:bCs/>
          <w:sz w:val="20"/>
        </w:rPr>
        <w:t>Harv</w:t>
      </w:r>
      <w:proofErr w:type="spellEnd"/>
      <w:r w:rsidRPr="00643C95">
        <w:rPr>
          <w:bCs/>
          <w:sz w:val="20"/>
        </w:rPr>
        <w:t xml:space="preserve">. J.L. &amp; Pub. </w:t>
      </w:r>
      <w:proofErr w:type="spellStart"/>
      <w:r w:rsidRPr="00643C95">
        <w:rPr>
          <w:bCs/>
          <w:sz w:val="20"/>
        </w:rPr>
        <w:t>Pol’y</w:t>
      </w:r>
      <w:proofErr w:type="spellEnd"/>
      <w:r w:rsidRPr="00643C95">
        <w:rPr>
          <w:bCs/>
          <w:sz w:val="20"/>
        </w:rPr>
        <w:t xml:space="preserve"> 983 (2007).</w:t>
      </w:r>
    </w:p>
  </w:footnote>
  <w:footnote w:id="30">
    <w:p w14:paraId="16BDE9F4" w14:textId="14377B75" w:rsidR="00A07403" w:rsidRPr="00643C95" w:rsidRDefault="00A07403" w:rsidP="00CD65AE">
      <w:pPr>
        <w:pStyle w:val="FootNote"/>
        <w:widowControl w:val="0"/>
        <w:rPr>
          <w:sz w:val="20"/>
        </w:rPr>
      </w:pPr>
      <w:r w:rsidRPr="00643C95">
        <w:rPr>
          <w:sz w:val="20"/>
        </w:rPr>
        <w:tab/>
      </w:r>
      <w:r w:rsidRPr="00643C95">
        <w:rPr>
          <w:rStyle w:val="NoterefInNote"/>
          <w:sz w:val="20"/>
        </w:rPr>
        <w:footnoteRef/>
      </w:r>
      <w:r w:rsidRPr="00643C95">
        <w:rPr>
          <w:sz w:val="20"/>
        </w:rPr>
        <w:t>.</w:t>
      </w:r>
      <w:r w:rsidRPr="00643C95">
        <w:rPr>
          <w:sz w:val="20"/>
        </w:rPr>
        <w:tab/>
      </w:r>
      <w:r w:rsidRPr="00643C95">
        <w:rPr>
          <w:i/>
          <w:sz w:val="20"/>
        </w:rPr>
        <w:t>Id</w:t>
      </w:r>
      <w:r w:rsidRPr="00643C95">
        <w:rPr>
          <w:sz w:val="20"/>
        </w:rPr>
        <w:t>. at 23–24.</w:t>
      </w:r>
    </w:p>
  </w:footnote>
  <w:footnote w:id="31">
    <w:p w14:paraId="0EC4F34F" w14:textId="565C046A" w:rsidR="00A07403" w:rsidRPr="00643C95" w:rsidRDefault="00A07403" w:rsidP="00CD65AE">
      <w:pPr>
        <w:pStyle w:val="FootNote"/>
        <w:widowControl w:val="0"/>
        <w:rPr>
          <w:sz w:val="20"/>
        </w:rPr>
      </w:pPr>
      <w:r w:rsidRPr="00643C95">
        <w:rPr>
          <w:sz w:val="20"/>
        </w:rPr>
        <w:tab/>
      </w:r>
      <w:r w:rsidRPr="00643C95">
        <w:rPr>
          <w:rStyle w:val="NoterefInNote"/>
          <w:sz w:val="20"/>
        </w:rPr>
        <w:footnoteRef/>
      </w:r>
      <w:r w:rsidRPr="00643C95">
        <w:rPr>
          <w:sz w:val="20"/>
        </w:rPr>
        <w:t>.</w:t>
      </w:r>
      <w:r w:rsidRPr="00643C95">
        <w:rPr>
          <w:sz w:val="20"/>
        </w:rPr>
        <w:tab/>
      </w:r>
      <w:r w:rsidRPr="00643C95">
        <w:rPr>
          <w:i/>
          <w:sz w:val="20"/>
        </w:rPr>
        <w:t>See, e.g.</w:t>
      </w:r>
      <w:r w:rsidRPr="00643C95">
        <w:rPr>
          <w:sz w:val="20"/>
        </w:rPr>
        <w:t>,</w:t>
      </w:r>
      <w:r w:rsidRPr="00643C95">
        <w:rPr>
          <w:i/>
          <w:sz w:val="20"/>
        </w:rPr>
        <w:t xml:space="preserve"> </w:t>
      </w:r>
      <w:r w:rsidRPr="00643C95">
        <w:rPr>
          <w:sz w:val="20"/>
        </w:rPr>
        <w:t xml:space="preserve">Matthew Bell, </w:t>
      </w:r>
      <w:r w:rsidRPr="00643C95">
        <w:rPr>
          <w:bCs/>
          <w:i/>
          <w:sz w:val="20"/>
        </w:rPr>
        <w:t xml:space="preserve">Did Trump Commit Treason in </w:t>
      </w:r>
      <w:proofErr w:type="gramStart"/>
      <w:r w:rsidRPr="00643C95">
        <w:rPr>
          <w:bCs/>
          <w:i/>
          <w:sz w:val="20"/>
        </w:rPr>
        <w:t>Helsinki?,</w:t>
      </w:r>
      <w:proofErr w:type="gramEnd"/>
      <w:r w:rsidRPr="00643C95">
        <w:rPr>
          <w:bCs/>
          <w:i/>
          <w:sz w:val="20"/>
        </w:rPr>
        <w:t xml:space="preserve"> </w:t>
      </w:r>
      <w:r w:rsidRPr="00643C95">
        <w:rPr>
          <w:bCs/>
          <w:sz w:val="20"/>
        </w:rPr>
        <w:t xml:space="preserve">PRI (July 17, 2018), https://www.pri.org/stories/2018-07-17/did-trump-commit-treason-helsinki; Grace Panetta, </w:t>
      </w:r>
      <w:r w:rsidRPr="00643C95">
        <w:rPr>
          <w:bCs/>
          <w:i/>
          <w:sz w:val="20"/>
        </w:rPr>
        <w:t>Former CIA Director John Brennan Said Trump’s Press Conference with Putin Was ‘Treasonous’ — Here’s What Legal Experts Say</w:t>
      </w:r>
      <w:r w:rsidRPr="00643C95">
        <w:rPr>
          <w:bCs/>
          <w:sz w:val="20"/>
        </w:rPr>
        <w:t xml:space="preserve">, </w:t>
      </w:r>
      <w:r w:rsidRPr="00643C95">
        <w:rPr>
          <w:bCs/>
          <w:smallCaps/>
          <w:sz w:val="20"/>
        </w:rPr>
        <w:t>Bus. Insider</w:t>
      </w:r>
      <w:r w:rsidRPr="00643C95">
        <w:rPr>
          <w:bCs/>
          <w:sz w:val="20"/>
        </w:rPr>
        <w:t xml:space="preserve"> (July 16, 2018), https://www.businessinsider.com/did-trump-committ-treason-russia-summit-2018-7; Ian Schwartz, </w:t>
      </w:r>
      <w:r w:rsidRPr="00643C95">
        <w:rPr>
          <w:bCs/>
          <w:i/>
          <w:sz w:val="20"/>
        </w:rPr>
        <w:t>Ralph Peters:</w:t>
      </w:r>
      <w:r w:rsidRPr="00643C95">
        <w:rPr>
          <w:bCs/>
          <w:sz w:val="20"/>
        </w:rPr>
        <w:t xml:space="preserve"> </w:t>
      </w:r>
      <w:r w:rsidRPr="00643C95">
        <w:rPr>
          <w:bCs/>
          <w:i/>
          <w:sz w:val="20"/>
        </w:rPr>
        <w:t>Trump “Committed Treason” if He Got Info from Russians, Attacking Press Like Goebbels</w:t>
      </w:r>
      <w:r w:rsidRPr="00643C95">
        <w:rPr>
          <w:bCs/>
          <w:sz w:val="20"/>
        </w:rPr>
        <w:t xml:space="preserve">, </w:t>
      </w:r>
      <w:r w:rsidRPr="00643C95">
        <w:rPr>
          <w:bCs/>
          <w:smallCaps/>
          <w:sz w:val="20"/>
        </w:rPr>
        <w:t>Real Clear Pol.</w:t>
      </w:r>
      <w:r w:rsidRPr="00643C95">
        <w:rPr>
          <w:bCs/>
          <w:sz w:val="20"/>
        </w:rPr>
        <w:t xml:space="preserve"> (Aug. 1, 2018), https://www.realclearpolitics.com/video/2018/08/01/ralph_peters_trump_committed_treason_if_he_got_info_from_russians_attacking_press_like_goebbels.html.</w:t>
      </w:r>
    </w:p>
  </w:footnote>
  <w:footnote w:id="32">
    <w:p w14:paraId="34B6E3FC" w14:textId="72FE887B" w:rsidR="00A07403" w:rsidRPr="00643C95" w:rsidRDefault="00A07403" w:rsidP="00CD65AE">
      <w:pPr>
        <w:pStyle w:val="FootNote"/>
        <w:widowControl w:val="0"/>
        <w:rPr>
          <w:sz w:val="20"/>
        </w:rPr>
      </w:pPr>
      <w:r w:rsidRPr="00643C95">
        <w:rPr>
          <w:sz w:val="20"/>
        </w:rPr>
        <w:tab/>
      </w:r>
      <w:r w:rsidRPr="00643C95">
        <w:rPr>
          <w:rStyle w:val="NoterefInNote"/>
          <w:sz w:val="20"/>
        </w:rPr>
        <w:footnoteRef/>
      </w:r>
      <w:r w:rsidRPr="00643C95">
        <w:rPr>
          <w:sz w:val="20"/>
        </w:rPr>
        <w:t>.</w:t>
      </w:r>
      <w:r w:rsidRPr="00643C95">
        <w:rPr>
          <w:sz w:val="20"/>
        </w:rPr>
        <w:tab/>
        <w:t xml:space="preserve">Though he has repeatedly denied he represents Trump, he at least takes the position of an apologist for Trump. </w:t>
      </w:r>
    </w:p>
  </w:footnote>
  <w:footnote w:id="33">
    <w:p w14:paraId="6754FC8E" w14:textId="7ACF15E9" w:rsidR="00A07403" w:rsidRPr="00643C95" w:rsidRDefault="00A07403" w:rsidP="00CD65AE">
      <w:pPr>
        <w:pStyle w:val="FootNote"/>
        <w:widowControl w:val="0"/>
        <w:rPr>
          <w:sz w:val="20"/>
        </w:rPr>
      </w:pPr>
      <w:r w:rsidRPr="00643C95">
        <w:rPr>
          <w:sz w:val="20"/>
        </w:rPr>
        <w:tab/>
      </w:r>
      <w:r w:rsidRPr="00643C95">
        <w:rPr>
          <w:rStyle w:val="NoterefInNote"/>
          <w:sz w:val="20"/>
        </w:rPr>
        <w:footnoteRef/>
      </w:r>
      <w:r w:rsidRPr="00643C95">
        <w:rPr>
          <w:sz w:val="20"/>
        </w:rPr>
        <w:t>.</w:t>
      </w:r>
      <w:r w:rsidRPr="00643C95">
        <w:rPr>
          <w:sz w:val="20"/>
        </w:rPr>
        <w:tab/>
      </w:r>
      <w:r w:rsidRPr="00643C95">
        <w:rPr>
          <w:i/>
          <w:sz w:val="20"/>
        </w:rPr>
        <w:t xml:space="preserve"> See </w:t>
      </w:r>
      <w:r w:rsidRPr="00643C95">
        <w:rPr>
          <w:smallCaps/>
          <w:sz w:val="20"/>
        </w:rPr>
        <w:t>Dershowitz</w:t>
      </w:r>
      <w:r w:rsidRPr="00643C95">
        <w:rPr>
          <w:sz w:val="20"/>
        </w:rPr>
        <w:t xml:space="preserve"> </w:t>
      </w:r>
      <w:r w:rsidRPr="00643C95">
        <w:rPr>
          <w:i/>
          <w:sz w:val="20"/>
        </w:rPr>
        <w:t>supra</w:t>
      </w:r>
      <w:r w:rsidRPr="00643C95">
        <w:rPr>
          <w:sz w:val="20"/>
        </w:rPr>
        <w:t xml:space="preserve"> note </w:t>
      </w:r>
      <w:r w:rsidRPr="00643C95">
        <w:rPr>
          <w:sz w:val="20"/>
        </w:rPr>
        <w:fldChar w:fldCharType="begin"/>
      </w:r>
      <w:r w:rsidRPr="00643C95">
        <w:rPr>
          <w:sz w:val="20"/>
        </w:rPr>
        <w:instrText xml:space="preserve"> NOTEREF _Ref526953712 \h </w:instrText>
      </w:r>
      <w:r w:rsidRPr="00643C95">
        <w:rPr>
          <w:sz w:val="20"/>
        </w:rPr>
      </w:r>
      <w:r w:rsidR="00643C95" w:rsidRPr="00643C95">
        <w:rPr>
          <w:sz w:val="20"/>
        </w:rPr>
        <w:instrText xml:space="preserve"> \* MERGEFORMAT </w:instrText>
      </w:r>
      <w:r w:rsidRPr="00643C95">
        <w:rPr>
          <w:sz w:val="20"/>
        </w:rPr>
        <w:fldChar w:fldCharType="separate"/>
      </w:r>
      <w:r w:rsidR="00643C95" w:rsidRPr="00643C95">
        <w:rPr>
          <w:sz w:val="20"/>
        </w:rPr>
        <w:t>1</w:t>
      </w:r>
      <w:r w:rsidRPr="00643C95">
        <w:rPr>
          <w:sz w:val="20"/>
        </w:rPr>
        <w:fldChar w:fldCharType="end"/>
      </w:r>
      <w:r w:rsidRPr="00643C95">
        <w:rPr>
          <w:sz w:val="20"/>
        </w:rPr>
        <w:t>, at 7–8.</w:t>
      </w:r>
    </w:p>
  </w:footnote>
  <w:footnote w:id="34">
    <w:p w14:paraId="2DBDA6CC" w14:textId="0AD3F31A" w:rsidR="00A07403" w:rsidRPr="00643C95" w:rsidRDefault="00A07403" w:rsidP="00105D81">
      <w:pPr>
        <w:pStyle w:val="FootNote"/>
        <w:widowControl w:val="0"/>
        <w:rPr>
          <w:sz w:val="20"/>
        </w:rPr>
      </w:pPr>
      <w:r w:rsidRPr="00643C95">
        <w:rPr>
          <w:sz w:val="20"/>
        </w:rPr>
        <w:tab/>
      </w:r>
      <w:r w:rsidRPr="00643C95">
        <w:rPr>
          <w:rStyle w:val="NoterefInNote"/>
          <w:sz w:val="20"/>
        </w:rPr>
        <w:footnoteRef/>
      </w:r>
      <w:r w:rsidRPr="00643C95">
        <w:rPr>
          <w:sz w:val="20"/>
        </w:rPr>
        <w:t>.</w:t>
      </w:r>
      <w:r w:rsidRPr="00643C95">
        <w:rPr>
          <w:sz w:val="20"/>
        </w:rPr>
        <w:tab/>
      </w:r>
      <w:r w:rsidRPr="00643C95">
        <w:rPr>
          <w:i/>
          <w:sz w:val="20"/>
        </w:rPr>
        <w:t xml:space="preserve">See </w:t>
      </w:r>
      <w:proofErr w:type="gramStart"/>
      <w:r w:rsidRPr="00643C95">
        <w:rPr>
          <w:i/>
          <w:sz w:val="20"/>
        </w:rPr>
        <w:t>The</w:t>
      </w:r>
      <w:proofErr w:type="gramEnd"/>
      <w:r w:rsidRPr="00643C95">
        <w:rPr>
          <w:i/>
          <w:sz w:val="20"/>
        </w:rPr>
        <w:t xml:space="preserve"> Clinton Impeachments</w:t>
      </w:r>
      <w:r w:rsidRPr="00643C95">
        <w:rPr>
          <w:sz w:val="20"/>
        </w:rPr>
        <w:t xml:space="preserve">, </w:t>
      </w:r>
      <w:proofErr w:type="spellStart"/>
      <w:r w:rsidRPr="00643C95">
        <w:rPr>
          <w:smallCaps/>
          <w:sz w:val="20"/>
        </w:rPr>
        <w:t>Justia</w:t>
      </w:r>
      <w:proofErr w:type="spellEnd"/>
      <w:r w:rsidRPr="00643C95">
        <w:rPr>
          <w:smallCaps/>
          <w:sz w:val="20"/>
        </w:rPr>
        <w:t>: US Law</w:t>
      </w:r>
      <w:r w:rsidRPr="00643C95">
        <w:rPr>
          <w:sz w:val="20"/>
        </w:rPr>
        <w:t>, https://law.justia.com/constitution/us/article</w:t>
      </w:r>
      <w:r w:rsidRPr="00643C95">
        <w:rPr>
          <w:sz w:val="20"/>
        </w:rPr>
        <w:br/>
        <w:t>-2/55-the-clinton-impeachment.html (last visited Nov. 5, 2018).</w:t>
      </w:r>
    </w:p>
  </w:footnote>
  <w:footnote w:id="35">
    <w:p w14:paraId="4269D4C3" w14:textId="78FE0DF3" w:rsidR="00A07403" w:rsidRPr="00643C95" w:rsidRDefault="00A07403" w:rsidP="00CD65AE">
      <w:pPr>
        <w:pStyle w:val="FootNote"/>
        <w:rPr>
          <w:sz w:val="20"/>
        </w:rPr>
      </w:pPr>
      <w:r w:rsidRPr="00643C95">
        <w:rPr>
          <w:sz w:val="20"/>
        </w:rPr>
        <w:tab/>
      </w:r>
      <w:r w:rsidRPr="00643C95">
        <w:rPr>
          <w:rStyle w:val="NoterefInNote"/>
          <w:sz w:val="20"/>
        </w:rPr>
        <w:footnoteRef/>
      </w:r>
      <w:r w:rsidRPr="00643C95">
        <w:rPr>
          <w:sz w:val="20"/>
        </w:rPr>
        <w:t>.</w:t>
      </w:r>
      <w:r w:rsidRPr="00643C95">
        <w:rPr>
          <w:sz w:val="20"/>
        </w:rPr>
        <w:tab/>
      </w:r>
      <w:r w:rsidRPr="00643C95">
        <w:rPr>
          <w:i/>
          <w:sz w:val="20"/>
        </w:rPr>
        <w:t>Approved Articles of Impeachment</w:t>
      </w:r>
      <w:r w:rsidRPr="00643C95">
        <w:rPr>
          <w:sz w:val="20"/>
        </w:rPr>
        <w:t xml:space="preserve">, </w:t>
      </w:r>
      <w:r w:rsidRPr="00643C95">
        <w:rPr>
          <w:smallCaps/>
          <w:sz w:val="20"/>
        </w:rPr>
        <w:t>Wash. Post</w:t>
      </w:r>
      <w:r w:rsidRPr="00643C95">
        <w:rPr>
          <w:sz w:val="20"/>
        </w:rPr>
        <w:t>, https://www.washingtonpost.com/wp-srv/politics/special/clinton/stories/articles122098.htm (last visited Oct. 23, 2018) (presenting the text of the articles of impeachment against Bill Clinton).</w:t>
      </w:r>
    </w:p>
  </w:footnote>
  <w:footnote w:id="36">
    <w:p w14:paraId="71141C5F" w14:textId="15ACD5C5" w:rsidR="00A07403" w:rsidRPr="00643C95" w:rsidRDefault="00A07403" w:rsidP="00CD65AE">
      <w:pPr>
        <w:pStyle w:val="FootNote"/>
        <w:rPr>
          <w:sz w:val="20"/>
        </w:rPr>
      </w:pPr>
      <w:r w:rsidRPr="00643C95">
        <w:rPr>
          <w:sz w:val="20"/>
        </w:rPr>
        <w:tab/>
      </w:r>
      <w:r w:rsidRPr="00643C95">
        <w:rPr>
          <w:rStyle w:val="NoterefInNote"/>
          <w:sz w:val="20"/>
        </w:rPr>
        <w:footnoteRef/>
      </w:r>
      <w:r w:rsidRPr="00643C95">
        <w:rPr>
          <w:sz w:val="20"/>
        </w:rPr>
        <w:t>.</w:t>
      </w:r>
      <w:r w:rsidRPr="00643C95">
        <w:rPr>
          <w:sz w:val="20"/>
        </w:rPr>
        <w:tab/>
        <w:t xml:space="preserve">Dan </w:t>
      </w:r>
      <w:proofErr w:type="spellStart"/>
      <w:r w:rsidRPr="00643C95">
        <w:rPr>
          <w:sz w:val="20"/>
        </w:rPr>
        <w:t>Nonicki</w:t>
      </w:r>
      <w:proofErr w:type="spellEnd"/>
      <w:r w:rsidRPr="00643C95">
        <w:rPr>
          <w:sz w:val="20"/>
        </w:rPr>
        <w:t xml:space="preserve">, </w:t>
      </w:r>
      <w:proofErr w:type="gramStart"/>
      <w:r w:rsidRPr="00643C95">
        <w:rPr>
          <w:bCs/>
          <w:i/>
          <w:sz w:val="20"/>
        </w:rPr>
        <w:t>In</w:t>
      </w:r>
      <w:proofErr w:type="gramEnd"/>
      <w:r w:rsidRPr="00643C95">
        <w:rPr>
          <w:bCs/>
          <w:i/>
          <w:sz w:val="20"/>
        </w:rPr>
        <w:t xml:space="preserve"> 1974, Goldwater and Rhodes Told Nixon He Was Doomed</w:t>
      </w:r>
      <w:r w:rsidRPr="00643C95">
        <w:rPr>
          <w:bCs/>
          <w:sz w:val="20"/>
        </w:rPr>
        <w:t xml:space="preserve">, </w:t>
      </w:r>
      <w:proofErr w:type="spellStart"/>
      <w:r w:rsidRPr="00643C95">
        <w:rPr>
          <w:bCs/>
          <w:smallCaps/>
          <w:sz w:val="20"/>
        </w:rPr>
        <w:t>AZCentral</w:t>
      </w:r>
      <w:proofErr w:type="spellEnd"/>
      <w:r w:rsidRPr="00643C95">
        <w:rPr>
          <w:bCs/>
          <w:sz w:val="20"/>
        </w:rPr>
        <w:t xml:space="preserve"> (Aug. 2, 2014), https://www.azcentral.com/story/azdc/2014/08/03/goldwater-rhodes-nixon-resignation</w:t>
      </w:r>
      <w:r w:rsidRPr="00643C95">
        <w:rPr>
          <w:bCs/>
          <w:sz w:val="20"/>
        </w:rPr>
        <w:br/>
        <w:t>/13497493.</w:t>
      </w:r>
    </w:p>
  </w:footnote>
  <w:footnote w:id="37">
    <w:p w14:paraId="2B91590E" w14:textId="5559CE92" w:rsidR="00A07403" w:rsidRPr="00643C95" w:rsidRDefault="00A07403" w:rsidP="00CD65AE">
      <w:pPr>
        <w:pStyle w:val="FootNote"/>
        <w:rPr>
          <w:sz w:val="20"/>
        </w:rPr>
      </w:pPr>
      <w:r w:rsidRPr="00643C95">
        <w:rPr>
          <w:sz w:val="20"/>
        </w:rPr>
        <w:tab/>
      </w:r>
      <w:r w:rsidRPr="00643C95">
        <w:rPr>
          <w:rStyle w:val="NoterefInNote"/>
          <w:sz w:val="20"/>
        </w:rPr>
        <w:footnoteRef/>
      </w:r>
      <w:r w:rsidRPr="00643C95">
        <w:rPr>
          <w:sz w:val="20"/>
        </w:rPr>
        <w:t>.</w:t>
      </w:r>
      <w:r w:rsidRPr="00643C95">
        <w:rPr>
          <w:sz w:val="20"/>
        </w:rPr>
        <w:tab/>
      </w:r>
      <w:r w:rsidRPr="00643C95">
        <w:rPr>
          <w:i/>
          <w:sz w:val="20"/>
        </w:rPr>
        <w:t>Articles of Impeachment</w:t>
      </w:r>
      <w:r w:rsidRPr="00643C95">
        <w:rPr>
          <w:sz w:val="20"/>
        </w:rPr>
        <w:t>,</w:t>
      </w:r>
      <w:r w:rsidRPr="00643C95">
        <w:rPr>
          <w:i/>
          <w:sz w:val="20"/>
        </w:rPr>
        <w:t xml:space="preserve"> </w:t>
      </w:r>
      <w:r w:rsidRPr="00643C95">
        <w:rPr>
          <w:smallCaps/>
          <w:sz w:val="20"/>
        </w:rPr>
        <w:t>Watergate.info</w:t>
      </w:r>
      <w:r w:rsidRPr="00643C95">
        <w:rPr>
          <w:sz w:val="20"/>
        </w:rPr>
        <w:t xml:space="preserve">, http://watergate.info/impeachment/articles-of-impeachment (last visited Oct. 23, 2018) (presenting Article 1 of the Articles of Impeachment against Richard Nixon adopted by the House Judiciary Committee on July 27, 1974, contain an obstruction of justice charge). </w:t>
      </w:r>
    </w:p>
  </w:footnote>
  <w:footnote w:id="38">
    <w:p w14:paraId="02124156" w14:textId="5AC66E2F" w:rsidR="00A07403" w:rsidRPr="00643C95" w:rsidRDefault="00A07403" w:rsidP="00CD65AE">
      <w:pPr>
        <w:pStyle w:val="FootNote"/>
        <w:rPr>
          <w:sz w:val="20"/>
        </w:rPr>
      </w:pPr>
      <w:r w:rsidRPr="00643C95">
        <w:rPr>
          <w:sz w:val="20"/>
        </w:rPr>
        <w:tab/>
      </w:r>
      <w:r w:rsidRPr="00643C95">
        <w:rPr>
          <w:rStyle w:val="NoterefInNote"/>
          <w:sz w:val="20"/>
        </w:rPr>
        <w:footnoteRef/>
      </w:r>
      <w:r w:rsidRPr="00643C95">
        <w:rPr>
          <w:sz w:val="20"/>
        </w:rPr>
        <w:t>.</w:t>
      </w:r>
      <w:r w:rsidRPr="00643C95">
        <w:rPr>
          <w:sz w:val="20"/>
        </w:rPr>
        <w:tab/>
        <w:t xml:space="preserve">Charlie Savage, </w:t>
      </w:r>
      <w:r w:rsidRPr="00643C95">
        <w:rPr>
          <w:i/>
          <w:sz w:val="20"/>
        </w:rPr>
        <w:t>Newly Discovered Clinton-era Memo Says Presidents Can Be Indicted</w:t>
      </w:r>
      <w:r w:rsidRPr="00643C95">
        <w:rPr>
          <w:sz w:val="20"/>
        </w:rPr>
        <w:t xml:space="preserve">, </w:t>
      </w:r>
      <w:r w:rsidRPr="00643C95">
        <w:rPr>
          <w:smallCaps/>
          <w:sz w:val="20"/>
        </w:rPr>
        <w:t>N.Y. Times</w:t>
      </w:r>
      <w:r w:rsidRPr="00643C95">
        <w:rPr>
          <w:sz w:val="20"/>
        </w:rPr>
        <w:t xml:space="preserve"> (July 22, 2017), https://www.nytimes.com/interactive/2017/07/22/us/document-Savage-NYT-FOIA-Starr-memo-presidential.html (Appendix to the article); </w:t>
      </w:r>
      <w:r w:rsidRPr="00643C95">
        <w:rPr>
          <w:i/>
          <w:sz w:val="20"/>
        </w:rPr>
        <w:t>see also</w:t>
      </w:r>
      <w:r w:rsidRPr="00643C95">
        <w:rPr>
          <w:sz w:val="20"/>
        </w:rPr>
        <w:t xml:space="preserve"> </w:t>
      </w:r>
      <w:r w:rsidRPr="00643C95">
        <w:rPr>
          <w:smallCaps/>
          <w:sz w:val="20"/>
        </w:rPr>
        <w:t>Jack Maskell, Cong. Res. Serv</w:t>
      </w:r>
      <w:r w:rsidRPr="00643C95">
        <w:rPr>
          <w:sz w:val="20"/>
        </w:rPr>
        <w:t xml:space="preserve">., </w:t>
      </w:r>
      <w:r w:rsidRPr="00643C95">
        <w:rPr>
          <w:smallCaps/>
          <w:sz w:val="20"/>
        </w:rPr>
        <w:t>Status of a Senator Who Has Been Indicted for or Convicted of a Felony</w:t>
      </w:r>
      <w:r w:rsidRPr="00643C95">
        <w:rPr>
          <w:sz w:val="20"/>
        </w:rPr>
        <w:t xml:space="preserve"> (2015), https://fas.org/sgp/crs/misc/RL34716.pdf; </w:t>
      </w:r>
      <w:r w:rsidRPr="00643C95">
        <w:rPr>
          <w:i/>
          <w:sz w:val="20"/>
        </w:rPr>
        <w:t>A Sitting President’s Amenability to Indictment and Criminal Prosecution</w:t>
      </w:r>
      <w:r w:rsidRPr="00643C95">
        <w:rPr>
          <w:sz w:val="20"/>
        </w:rPr>
        <w:t xml:space="preserve">, </w:t>
      </w:r>
      <w:r w:rsidRPr="00643C95">
        <w:rPr>
          <w:smallCaps/>
          <w:sz w:val="20"/>
        </w:rPr>
        <w:t>Dep’t of Justice,</w:t>
      </w:r>
      <w:r w:rsidRPr="00643C95">
        <w:rPr>
          <w:sz w:val="20"/>
        </w:rPr>
        <w:t xml:space="preserve"> https://www.justice.gov/olc/opinion/sitting-president%E2%80%99s-amenability-indictment-and-criminal-prosecution (last visited Oct. 23, 2018). </w:t>
      </w:r>
    </w:p>
  </w:footnote>
  <w:footnote w:id="39">
    <w:p w14:paraId="11612C27" w14:textId="7588912B" w:rsidR="00A07403" w:rsidRPr="00643C95" w:rsidRDefault="00A07403" w:rsidP="00CD65AE">
      <w:pPr>
        <w:pStyle w:val="FootNote"/>
        <w:widowControl w:val="0"/>
        <w:rPr>
          <w:b/>
          <w:i/>
          <w:sz w:val="20"/>
          <w:u w:val="single"/>
        </w:rPr>
      </w:pPr>
      <w:r w:rsidRPr="00643C95">
        <w:rPr>
          <w:sz w:val="20"/>
        </w:rPr>
        <w:tab/>
      </w:r>
      <w:r w:rsidRPr="00643C95">
        <w:rPr>
          <w:rStyle w:val="NoterefInNote"/>
          <w:sz w:val="20"/>
        </w:rPr>
        <w:footnoteRef/>
      </w:r>
      <w:r w:rsidRPr="00643C95">
        <w:rPr>
          <w:sz w:val="20"/>
        </w:rPr>
        <w:t>.</w:t>
      </w:r>
      <w:r w:rsidRPr="00643C95">
        <w:rPr>
          <w:sz w:val="20"/>
        </w:rPr>
        <w:tab/>
      </w:r>
      <w:r w:rsidRPr="00643C95">
        <w:rPr>
          <w:smallCaps/>
          <w:sz w:val="20"/>
        </w:rPr>
        <w:t>Dershowitz</w:t>
      </w:r>
      <w:r w:rsidRPr="00643C95">
        <w:rPr>
          <w:sz w:val="20"/>
        </w:rPr>
        <w:t xml:space="preserve"> </w:t>
      </w:r>
      <w:r w:rsidRPr="00643C95">
        <w:rPr>
          <w:i/>
          <w:sz w:val="20"/>
        </w:rPr>
        <w:t>supra</w:t>
      </w:r>
      <w:r w:rsidRPr="00643C95">
        <w:rPr>
          <w:sz w:val="20"/>
        </w:rPr>
        <w:t xml:space="preserve"> note </w:t>
      </w:r>
      <w:r w:rsidRPr="00643C95">
        <w:rPr>
          <w:sz w:val="20"/>
        </w:rPr>
        <w:fldChar w:fldCharType="begin"/>
      </w:r>
      <w:r w:rsidRPr="00643C95">
        <w:rPr>
          <w:sz w:val="20"/>
        </w:rPr>
        <w:instrText xml:space="preserve"> NOTEREF _Ref526953712 \h </w:instrText>
      </w:r>
      <w:r w:rsidRPr="00643C95">
        <w:rPr>
          <w:sz w:val="20"/>
        </w:rPr>
      </w:r>
      <w:r w:rsidR="00643C95" w:rsidRPr="00643C95">
        <w:rPr>
          <w:sz w:val="20"/>
        </w:rPr>
        <w:instrText xml:space="preserve"> \* MERGEFORMAT </w:instrText>
      </w:r>
      <w:r w:rsidRPr="00643C95">
        <w:rPr>
          <w:sz w:val="20"/>
        </w:rPr>
        <w:fldChar w:fldCharType="separate"/>
      </w:r>
      <w:r w:rsidR="00643C95" w:rsidRPr="00643C95">
        <w:rPr>
          <w:sz w:val="20"/>
        </w:rPr>
        <w:t>1</w:t>
      </w:r>
      <w:r w:rsidRPr="00643C95">
        <w:rPr>
          <w:sz w:val="20"/>
        </w:rPr>
        <w:fldChar w:fldCharType="end"/>
      </w:r>
      <w:r w:rsidRPr="00643C95">
        <w:rPr>
          <w:sz w:val="20"/>
        </w:rPr>
        <w:t>, at 24.</w:t>
      </w:r>
    </w:p>
  </w:footnote>
  <w:footnote w:id="40">
    <w:p w14:paraId="57E79894" w14:textId="5C320005" w:rsidR="00A07403" w:rsidRPr="00643C95" w:rsidRDefault="00A07403" w:rsidP="00CD65AE">
      <w:pPr>
        <w:pStyle w:val="FootNote"/>
        <w:widowControl w:val="0"/>
        <w:rPr>
          <w:sz w:val="20"/>
        </w:rPr>
      </w:pPr>
      <w:r w:rsidRPr="00643C95">
        <w:rPr>
          <w:sz w:val="20"/>
        </w:rPr>
        <w:tab/>
      </w:r>
      <w:r w:rsidRPr="00643C95">
        <w:rPr>
          <w:rStyle w:val="NoterefInNote"/>
          <w:sz w:val="20"/>
        </w:rPr>
        <w:footnoteRef/>
      </w:r>
      <w:r w:rsidRPr="00643C95">
        <w:rPr>
          <w:sz w:val="20"/>
        </w:rPr>
        <w:t>.</w:t>
      </w:r>
      <w:r w:rsidRPr="00643C95">
        <w:rPr>
          <w:sz w:val="20"/>
        </w:rPr>
        <w:tab/>
        <w:t xml:space="preserve">See </w:t>
      </w:r>
      <w:proofErr w:type="spellStart"/>
      <w:r w:rsidRPr="00643C95">
        <w:rPr>
          <w:sz w:val="20"/>
        </w:rPr>
        <w:t>Ediberto</w:t>
      </w:r>
      <w:proofErr w:type="spellEnd"/>
      <w:r w:rsidRPr="00643C95">
        <w:rPr>
          <w:sz w:val="20"/>
        </w:rPr>
        <w:t xml:space="preserve"> Roman et al., </w:t>
      </w:r>
      <w:r w:rsidRPr="00643C95">
        <w:rPr>
          <w:i/>
          <w:sz w:val="20"/>
        </w:rPr>
        <w:t>Collusion, Obstruction of Justice, and Impeachment</w:t>
      </w:r>
      <w:r w:rsidRPr="00643C95">
        <w:rPr>
          <w:sz w:val="20"/>
        </w:rPr>
        <w:t xml:space="preserve">, 45 </w:t>
      </w:r>
      <w:r w:rsidRPr="00643C95">
        <w:rPr>
          <w:smallCaps/>
          <w:sz w:val="20"/>
        </w:rPr>
        <w:t>Notre Dame J. Legis.</w:t>
      </w:r>
      <w:r w:rsidRPr="00643C95">
        <w:rPr>
          <w:sz w:val="20"/>
        </w:rPr>
        <w:t xml:space="preserve"> (forthcoming 2018).</w:t>
      </w:r>
    </w:p>
  </w:footnote>
  <w:footnote w:id="41">
    <w:p w14:paraId="6AD55063" w14:textId="3C8BFE59" w:rsidR="00A07403" w:rsidRPr="00643C95" w:rsidRDefault="00A07403" w:rsidP="00CD65AE">
      <w:pPr>
        <w:pStyle w:val="FootNote"/>
        <w:widowControl w:val="0"/>
        <w:rPr>
          <w:sz w:val="20"/>
        </w:rPr>
      </w:pPr>
      <w:r w:rsidRPr="00643C95">
        <w:rPr>
          <w:sz w:val="20"/>
        </w:rPr>
        <w:tab/>
      </w:r>
      <w:r w:rsidRPr="00643C95">
        <w:rPr>
          <w:rStyle w:val="NoterefInNote"/>
          <w:sz w:val="20"/>
        </w:rPr>
        <w:footnoteRef/>
      </w:r>
      <w:r w:rsidRPr="00643C95">
        <w:rPr>
          <w:sz w:val="20"/>
        </w:rPr>
        <w:t>.</w:t>
      </w:r>
      <w:r w:rsidRPr="00643C95">
        <w:rPr>
          <w:sz w:val="20"/>
        </w:rPr>
        <w:tab/>
      </w:r>
      <w:r w:rsidRPr="00643C95">
        <w:rPr>
          <w:smallCaps/>
          <w:sz w:val="20"/>
        </w:rPr>
        <w:t>Dershowitz</w:t>
      </w:r>
      <w:r w:rsidRPr="00643C95">
        <w:rPr>
          <w:sz w:val="20"/>
        </w:rPr>
        <w:t xml:space="preserve"> </w:t>
      </w:r>
      <w:r w:rsidRPr="00643C95">
        <w:rPr>
          <w:i/>
          <w:sz w:val="20"/>
        </w:rPr>
        <w:t>supra</w:t>
      </w:r>
      <w:r w:rsidRPr="00643C95">
        <w:rPr>
          <w:sz w:val="20"/>
        </w:rPr>
        <w:t xml:space="preserve"> note </w:t>
      </w:r>
      <w:r w:rsidRPr="00643C95">
        <w:rPr>
          <w:sz w:val="20"/>
        </w:rPr>
        <w:fldChar w:fldCharType="begin"/>
      </w:r>
      <w:r w:rsidRPr="00643C95">
        <w:rPr>
          <w:sz w:val="20"/>
        </w:rPr>
        <w:instrText xml:space="preserve"> NOTEREF _Ref526953712 \h  \* MERGEFORMAT </w:instrText>
      </w:r>
      <w:r w:rsidRPr="00643C95">
        <w:rPr>
          <w:sz w:val="20"/>
        </w:rPr>
      </w:r>
      <w:r w:rsidRPr="00643C95">
        <w:rPr>
          <w:sz w:val="20"/>
        </w:rPr>
        <w:fldChar w:fldCharType="separate"/>
      </w:r>
      <w:r w:rsidR="00643C95" w:rsidRPr="00643C95">
        <w:rPr>
          <w:sz w:val="20"/>
        </w:rPr>
        <w:t>1</w:t>
      </w:r>
      <w:r w:rsidRPr="00643C95">
        <w:rPr>
          <w:sz w:val="20"/>
        </w:rPr>
        <w:fldChar w:fldCharType="end"/>
      </w:r>
      <w:r w:rsidRPr="00643C95">
        <w:rPr>
          <w:sz w:val="20"/>
        </w:rPr>
        <w:t>, at 24.</w:t>
      </w:r>
    </w:p>
    <w:p w14:paraId="12C4211C" w14:textId="77777777" w:rsidR="00A07403" w:rsidRPr="00643C95" w:rsidRDefault="00A07403" w:rsidP="00CD65AE">
      <w:pPr>
        <w:pStyle w:val="FootNote"/>
        <w:widowControl w:val="0"/>
        <w:rPr>
          <w:i/>
          <w:sz w:val="20"/>
        </w:rPr>
      </w:pPr>
    </w:p>
  </w:footnote>
  <w:footnote w:id="42">
    <w:p w14:paraId="1479D204" w14:textId="13360367" w:rsidR="00A07403" w:rsidRPr="00643C95" w:rsidRDefault="00A07403" w:rsidP="00CD65AE">
      <w:pPr>
        <w:pStyle w:val="FootNote"/>
        <w:widowControl w:val="0"/>
        <w:rPr>
          <w:sz w:val="20"/>
        </w:rPr>
      </w:pPr>
      <w:r w:rsidRPr="00643C95">
        <w:rPr>
          <w:sz w:val="20"/>
        </w:rPr>
        <w:tab/>
      </w:r>
      <w:r w:rsidRPr="00643C95">
        <w:rPr>
          <w:rStyle w:val="NoterefInNote"/>
          <w:sz w:val="20"/>
        </w:rPr>
        <w:footnoteRef/>
      </w:r>
      <w:r w:rsidRPr="00643C95">
        <w:rPr>
          <w:sz w:val="20"/>
        </w:rPr>
        <w:t>.</w:t>
      </w:r>
      <w:r w:rsidRPr="00643C95">
        <w:rPr>
          <w:sz w:val="20"/>
        </w:rPr>
        <w:tab/>
      </w:r>
      <w:r w:rsidRPr="00643C95">
        <w:rPr>
          <w:smallCaps/>
          <w:sz w:val="20"/>
        </w:rPr>
        <w:t>Dershowitz</w:t>
      </w:r>
      <w:r w:rsidRPr="00643C95">
        <w:rPr>
          <w:sz w:val="20"/>
        </w:rPr>
        <w:t xml:space="preserve"> </w:t>
      </w:r>
      <w:r w:rsidRPr="00643C95">
        <w:rPr>
          <w:i/>
          <w:sz w:val="20"/>
        </w:rPr>
        <w:t>supra</w:t>
      </w:r>
      <w:r w:rsidRPr="00643C95">
        <w:rPr>
          <w:sz w:val="20"/>
        </w:rPr>
        <w:t xml:space="preserve"> note </w:t>
      </w:r>
      <w:r w:rsidRPr="00643C95">
        <w:rPr>
          <w:sz w:val="20"/>
        </w:rPr>
        <w:fldChar w:fldCharType="begin"/>
      </w:r>
      <w:r w:rsidRPr="00643C95">
        <w:rPr>
          <w:sz w:val="20"/>
        </w:rPr>
        <w:instrText xml:space="preserve"> NOTEREF _Ref526953712 \h </w:instrText>
      </w:r>
      <w:r w:rsidRPr="00643C95">
        <w:rPr>
          <w:sz w:val="20"/>
        </w:rPr>
      </w:r>
      <w:r w:rsidR="00643C95" w:rsidRPr="00643C95">
        <w:rPr>
          <w:sz w:val="20"/>
        </w:rPr>
        <w:instrText xml:space="preserve"> \* MERGEFORMAT </w:instrText>
      </w:r>
      <w:r w:rsidRPr="00643C95">
        <w:rPr>
          <w:sz w:val="20"/>
        </w:rPr>
        <w:fldChar w:fldCharType="separate"/>
      </w:r>
      <w:r w:rsidR="00643C95" w:rsidRPr="00643C95">
        <w:rPr>
          <w:sz w:val="20"/>
        </w:rPr>
        <w:t>1</w:t>
      </w:r>
      <w:r w:rsidRPr="00643C95">
        <w:rPr>
          <w:sz w:val="20"/>
        </w:rPr>
        <w:fldChar w:fldCharType="end"/>
      </w:r>
      <w:r w:rsidRPr="00643C95">
        <w:rPr>
          <w:sz w:val="20"/>
        </w:rPr>
        <w:t xml:space="preserve">, at 5–6. </w:t>
      </w:r>
    </w:p>
  </w:footnote>
  <w:footnote w:id="43">
    <w:p w14:paraId="207A943C" w14:textId="2FBD707F" w:rsidR="00A07403" w:rsidRPr="00643C95" w:rsidRDefault="00A07403" w:rsidP="00CD65AE">
      <w:pPr>
        <w:pStyle w:val="FootNote"/>
        <w:widowControl w:val="0"/>
        <w:rPr>
          <w:i/>
          <w:sz w:val="20"/>
        </w:rPr>
      </w:pPr>
      <w:r w:rsidRPr="00643C95">
        <w:rPr>
          <w:sz w:val="20"/>
        </w:rPr>
        <w:tab/>
      </w:r>
      <w:r w:rsidRPr="00643C95">
        <w:rPr>
          <w:rStyle w:val="NoterefInNote"/>
          <w:sz w:val="20"/>
        </w:rPr>
        <w:footnoteRef/>
      </w:r>
      <w:r w:rsidRPr="00643C95">
        <w:rPr>
          <w:sz w:val="20"/>
        </w:rPr>
        <w:t>.</w:t>
      </w:r>
      <w:r w:rsidRPr="00643C95">
        <w:rPr>
          <w:sz w:val="20"/>
        </w:rPr>
        <w:tab/>
      </w:r>
      <w:r w:rsidRPr="00643C95">
        <w:rPr>
          <w:i/>
          <w:sz w:val="20"/>
        </w:rPr>
        <w:t>Id.</w:t>
      </w:r>
    </w:p>
  </w:footnote>
  <w:footnote w:id="44">
    <w:p w14:paraId="19957ECB" w14:textId="11917E0C" w:rsidR="00A07403" w:rsidRPr="00643C95" w:rsidRDefault="00A07403" w:rsidP="00CD65AE">
      <w:pPr>
        <w:pStyle w:val="FootNote"/>
        <w:widowControl w:val="0"/>
        <w:rPr>
          <w:i/>
          <w:sz w:val="20"/>
        </w:rPr>
      </w:pPr>
      <w:r w:rsidRPr="00643C95">
        <w:rPr>
          <w:sz w:val="20"/>
        </w:rPr>
        <w:tab/>
      </w:r>
      <w:r w:rsidRPr="00643C95">
        <w:rPr>
          <w:rStyle w:val="NoterefInNote"/>
          <w:sz w:val="20"/>
        </w:rPr>
        <w:footnoteRef/>
      </w:r>
      <w:r w:rsidRPr="00643C95">
        <w:rPr>
          <w:sz w:val="20"/>
        </w:rPr>
        <w:t>.</w:t>
      </w:r>
      <w:r w:rsidRPr="00643C95">
        <w:rPr>
          <w:sz w:val="20"/>
        </w:rPr>
        <w:tab/>
      </w:r>
      <w:r w:rsidRPr="00643C95">
        <w:rPr>
          <w:i/>
          <w:sz w:val="20"/>
        </w:rPr>
        <w:t>Id.</w:t>
      </w:r>
    </w:p>
  </w:footnote>
  <w:footnote w:id="45">
    <w:p w14:paraId="172DDFAE" w14:textId="159D57E5" w:rsidR="00A07403" w:rsidRPr="00643C95" w:rsidRDefault="00A07403" w:rsidP="00CD65AE">
      <w:pPr>
        <w:pStyle w:val="FootNote"/>
        <w:widowControl w:val="0"/>
        <w:rPr>
          <w:sz w:val="20"/>
        </w:rPr>
      </w:pPr>
      <w:r w:rsidRPr="00643C95">
        <w:rPr>
          <w:sz w:val="20"/>
        </w:rPr>
        <w:tab/>
      </w:r>
      <w:r w:rsidRPr="00643C95">
        <w:rPr>
          <w:rStyle w:val="NoterefInNote"/>
          <w:sz w:val="20"/>
        </w:rPr>
        <w:footnoteRef/>
      </w:r>
      <w:r w:rsidRPr="00643C95">
        <w:rPr>
          <w:sz w:val="20"/>
        </w:rPr>
        <w:t>.</w:t>
      </w:r>
      <w:r w:rsidRPr="00643C95">
        <w:rPr>
          <w:sz w:val="20"/>
        </w:rPr>
        <w:tab/>
      </w:r>
      <w:r w:rsidRPr="00643C95">
        <w:rPr>
          <w:i/>
          <w:sz w:val="20"/>
        </w:rPr>
        <w:t xml:space="preserve">Id. </w:t>
      </w:r>
      <w:r w:rsidRPr="00643C95">
        <w:rPr>
          <w:sz w:val="20"/>
        </w:rPr>
        <w:t>at 54.</w:t>
      </w:r>
    </w:p>
  </w:footnote>
  <w:footnote w:id="46">
    <w:p w14:paraId="1E1296A3" w14:textId="5041B53F" w:rsidR="00A07403" w:rsidRPr="00643C95" w:rsidRDefault="00A07403" w:rsidP="00A10B7A">
      <w:pPr>
        <w:pStyle w:val="FootNote"/>
        <w:widowControl w:val="0"/>
        <w:rPr>
          <w:b/>
          <w:sz w:val="20"/>
          <w:u w:val="single"/>
        </w:rPr>
      </w:pPr>
      <w:r w:rsidRPr="00643C95">
        <w:rPr>
          <w:sz w:val="20"/>
        </w:rPr>
        <w:tab/>
      </w:r>
      <w:r w:rsidRPr="00643C95">
        <w:rPr>
          <w:rStyle w:val="NoterefInNote"/>
          <w:sz w:val="20"/>
        </w:rPr>
        <w:footnoteRef/>
      </w:r>
      <w:r w:rsidRPr="00643C95">
        <w:rPr>
          <w:sz w:val="20"/>
        </w:rPr>
        <w:t>.</w:t>
      </w:r>
      <w:r w:rsidRPr="00643C95">
        <w:rPr>
          <w:sz w:val="20"/>
        </w:rPr>
        <w:tab/>
      </w:r>
      <w:r w:rsidRPr="00643C95">
        <w:rPr>
          <w:i/>
          <w:sz w:val="20"/>
        </w:rPr>
        <w:t xml:space="preserve">Id. </w:t>
      </w:r>
      <w:r w:rsidRPr="00643C95">
        <w:rPr>
          <w:sz w:val="20"/>
        </w:rPr>
        <w:t>at 27.</w:t>
      </w:r>
    </w:p>
  </w:footnote>
  <w:footnote w:id="47">
    <w:p w14:paraId="55EAD6F3" w14:textId="03D30F8D" w:rsidR="00A07403" w:rsidRPr="00643C95" w:rsidRDefault="00A07403" w:rsidP="00CD65AE">
      <w:pPr>
        <w:pStyle w:val="FootNote"/>
        <w:widowControl w:val="0"/>
        <w:rPr>
          <w:sz w:val="20"/>
        </w:rPr>
      </w:pPr>
      <w:r w:rsidRPr="00643C95">
        <w:rPr>
          <w:sz w:val="20"/>
        </w:rPr>
        <w:tab/>
      </w:r>
      <w:r w:rsidRPr="00643C95">
        <w:rPr>
          <w:rStyle w:val="NoterefInNote"/>
          <w:sz w:val="20"/>
        </w:rPr>
        <w:footnoteRef/>
      </w:r>
      <w:r w:rsidRPr="00643C95">
        <w:rPr>
          <w:sz w:val="20"/>
        </w:rPr>
        <w:t>.</w:t>
      </w:r>
      <w:r w:rsidRPr="00643C95">
        <w:rPr>
          <w:sz w:val="20"/>
        </w:rPr>
        <w:tab/>
      </w:r>
      <w:r w:rsidRPr="00643C95">
        <w:rPr>
          <w:i/>
          <w:sz w:val="20"/>
        </w:rPr>
        <w:t xml:space="preserve">Id. </w:t>
      </w:r>
      <w:r w:rsidRPr="00643C95">
        <w:rPr>
          <w:sz w:val="20"/>
        </w:rPr>
        <w:t>at 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860D18" w14:textId="01D86CA7" w:rsidR="00A07403" w:rsidRDefault="00A07403" w:rsidP="00873413">
    <w:pPr>
      <w:pStyle w:val="header0"/>
    </w:pPr>
    <w:r>
      <w:tab/>
    </w:r>
  </w:p>
  <w:p w14:paraId="10BDDDA5" w14:textId="6B5C3529" w:rsidR="00A07403" w:rsidRDefault="00A07403" w:rsidP="008875FA">
    <w:pPr>
      <w:pStyle w:val="Header"/>
      <w:tabs>
        <w:tab w:val="clear" w:pos="4320"/>
        <w:tab w:val="clear" w:pos="8640"/>
        <w:tab w:val="center" w:pos="3300"/>
        <w:tab w:val="right" w:pos="6720"/>
      </w:tabs>
      <w:spacing w:before="720" w:after="240" w:line="200" w:lineRule="exact"/>
      <w:jc w:val="both"/>
    </w:pPr>
    <w:r>
      <w:rPr>
        <w:rStyle w:val="PageNumber"/>
      </w:rPr>
      <w:fldChar w:fldCharType="begin"/>
    </w:r>
    <w:r>
      <w:rPr>
        <w:rStyle w:val="PageNumber"/>
      </w:rPr>
      <w:instrText xml:space="preserve"> PAGE </w:instrText>
    </w:r>
    <w:r>
      <w:rPr>
        <w:rStyle w:val="PageNumber"/>
      </w:rPr>
      <w:fldChar w:fldCharType="separate"/>
    </w:r>
    <w:r>
      <w:rPr>
        <w:rStyle w:val="PageNumber"/>
        <w:noProof/>
      </w:rPr>
      <w:t>26</w:t>
    </w:r>
    <w:r>
      <w:rPr>
        <w:rStyle w:val="PageNumber"/>
      </w:rPr>
      <w:fldChar w:fldCharType="end"/>
    </w:r>
    <w:r>
      <w:rPr>
        <w:rStyle w:val="PageNumber"/>
      </w:rPr>
      <w:t xml:space="preserve">        </w:t>
    </w:r>
    <w:r>
      <w:rPr>
        <w:rStyle w:val="PageNumber"/>
        <w:i/>
      </w:rPr>
      <w:t>SOUTHERN CALIFORNIA LAW REVIEW POSTSCRIPT</w:t>
    </w:r>
    <w:r>
      <w:rPr>
        <w:rStyle w:val="PageNumber"/>
      </w:rPr>
      <w:t xml:space="preserve">   </w:t>
    </w:r>
    <w:proofErr w:type="gramStart"/>
    <w:r>
      <w:rPr>
        <w:rStyle w:val="PageNumber"/>
      </w:rPr>
      <w:t xml:space="preserve">   [</w:t>
    </w:r>
    <w:proofErr w:type="gramEnd"/>
    <w:r>
      <w:rPr>
        <w:rStyle w:val="PageNumber"/>
      </w:rPr>
      <w:t>Vol. 92:PS19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8BB119" w14:textId="5EC409DB" w:rsidR="00A07403" w:rsidRDefault="00A07403" w:rsidP="00873413">
    <w:pPr>
      <w:pStyle w:val="header0"/>
    </w:pPr>
    <w:r>
      <w:tab/>
    </w:r>
  </w:p>
  <w:p w14:paraId="3315EE8A" w14:textId="642A435A" w:rsidR="00A07403" w:rsidRDefault="00A07403">
    <w:pPr>
      <w:pStyle w:val="Header"/>
      <w:tabs>
        <w:tab w:val="clear" w:pos="4320"/>
        <w:tab w:val="clear" w:pos="8640"/>
        <w:tab w:val="center" w:pos="3300"/>
        <w:tab w:val="right" w:pos="6720"/>
      </w:tabs>
      <w:spacing w:before="720" w:after="240" w:line="200" w:lineRule="exact"/>
      <w:jc w:val="both"/>
    </w:pPr>
    <w:r>
      <w:t>2018]</w:t>
    </w:r>
    <w:r>
      <w:tab/>
    </w:r>
    <w:r>
      <w:rPr>
        <w:i/>
      </w:rPr>
      <w:t>PROFOUND SOPHISTICATION OR LEGAL SOPHISTRY</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25</w:t>
    </w:r>
    <w:r>
      <w:rPr>
        <w:rStyle w:val="PageNumber"/>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7AE099" w14:textId="53C9670F" w:rsidR="00A07403" w:rsidRDefault="00A07403" w:rsidP="00873413">
    <w:pPr>
      <w:pStyle w:val="header0"/>
    </w:pPr>
    <w:r>
      <w:tab/>
    </w:r>
  </w:p>
  <w:p w14:paraId="7E072086" w14:textId="77777777" w:rsidR="00A07403" w:rsidRDefault="00A07403">
    <w:pPr>
      <w:pStyle w:val="Header"/>
      <w:tabs>
        <w:tab w:val="clear" w:pos="4320"/>
        <w:tab w:val="clear" w:pos="8640"/>
        <w:tab w:val="right" w:pos="6720"/>
      </w:tabs>
      <w:spacing w:before="720" w:after="720" w:line="200" w:lineRule="exact"/>
      <w:jc w:val="both"/>
    </w:pPr>
  </w:p>
  <w:p w14:paraId="7277B7CD" w14:textId="77777777" w:rsidR="00A07403" w:rsidRDefault="00A0740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338B6F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63EC54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17C7BC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E94B66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B1E424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FD49BE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974F8D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35CDE7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690E74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1641DD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D60272"/>
    <w:multiLevelType w:val="singleLevel"/>
    <w:tmpl w:val="EF60DC88"/>
    <w:lvl w:ilvl="0">
      <w:start w:val="1"/>
      <w:numFmt w:val="decimal"/>
      <w:lvlText w:val="%1. "/>
      <w:legacy w:legacy="1" w:legacySpace="0" w:legacyIndent="360"/>
      <w:lvlJc w:val="left"/>
      <w:pPr>
        <w:ind w:left="360" w:hanging="360"/>
      </w:pPr>
      <w:rPr>
        <w:rFonts w:ascii="Courier" w:hAnsi="Courier" w:hint="default"/>
        <w:b w:val="0"/>
        <w:i w:val="0"/>
        <w:sz w:val="24"/>
        <w:u w:val="none"/>
      </w:rPr>
    </w:lvl>
  </w:abstractNum>
  <w:num w:numId="1">
    <w:abstractNumId w:val="10"/>
  </w:num>
  <w:num w:numId="2">
    <w:abstractNumId w:val="3"/>
  </w:num>
  <w:num w:numId="3">
    <w:abstractNumId w:val="9"/>
  </w:num>
  <w:num w:numId="4">
    <w:abstractNumId w:val="7"/>
  </w:num>
  <w:num w:numId="5">
    <w:abstractNumId w:val="6"/>
  </w:num>
  <w:num w:numId="6">
    <w:abstractNumId w:val="5"/>
  </w:num>
  <w:num w:numId="7">
    <w:abstractNumId w:val="4"/>
  </w:num>
  <w:num w:numId="8">
    <w:abstractNumId w:val="8"/>
  </w:num>
  <w:num w:numId="9">
    <w:abstractNumId w:val="2"/>
  </w:num>
  <w:num w:numId="10">
    <w:abstractNumId w:val="1"/>
  </w:num>
  <w:num w:numId="11">
    <w:abstractNumId w:val="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0"/>
  <w:consecutiveHyphenLimit w:val="3"/>
  <w:hyphenationZone w:val="280"/>
  <w:doNotHyphenateCaps/>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65AE"/>
    <w:rsid w:val="00015499"/>
    <w:rsid w:val="00023233"/>
    <w:rsid w:val="00024801"/>
    <w:rsid w:val="000330F6"/>
    <w:rsid w:val="000531E7"/>
    <w:rsid w:val="000631F1"/>
    <w:rsid w:val="000674C0"/>
    <w:rsid w:val="00072D44"/>
    <w:rsid w:val="000734D4"/>
    <w:rsid w:val="000752D6"/>
    <w:rsid w:val="00075ACA"/>
    <w:rsid w:val="00085FD5"/>
    <w:rsid w:val="00095BE3"/>
    <w:rsid w:val="00095F6D"/>
    <w:rsid w:val="000A67AA"/>
    <w:rsid w:val="000B3821"/>
    <w:rsid w:val="000C6317"/>
    <w:rsid w:val="000F42C8"/>
    <w:rsid w:val="00103613"/>
    <w:rsid w:val="00105D81"/>
    <w:rsid w:val="00105DB1"/>
    <w:rsid w:val="001228AE"/>
    <w:rsid w:val="001367B0"/>
    <w:rsid w:val="0014417D"/>
    <w:rsid w:val="00167C8D"/>
    <w:rsid w:val="00194665"/>
    <w:rsid w:val="001A1B46"/>
    <w:rsid w:val="001B394F"/>
    <w:rsid w:val="001C30A5"/>
    <w:rsid w:val="001D04AB"/>
    <w:rsid w:val="001E5658"/>
    <w:rsid w:val="00210989"/>
    <w:rsid w:val="00227641"/>
    <w:rsid w:val="00231DD4"/>
    <w:rsid w:val="00235BEF"/>
    <w:rsid w:val="0024007F"/>
    <w:rsid w:val="002448F7"/>
    <w:rsid w:val="002529EA"/>
    <w:rsid w:val="00273DD4"/>
    <w:rsid w:val="00281845"/>
    <w:rsid w:val="002827DF"/>
    <w:rsid w:val="0028459A"/>
    <w:rsid w:val="00296FC3"/>
    <w:rsid w:val="002B61B6"/>
    <w:rsid w:val="002C7A7B"/>
    <w:rsid w:val="002D1890"/>
    <w:rsid w:val="002E0B47"/>
    <w:rsid w:val="002E381C"/>
    <w:rsid w:val="002E4307"/>
    <w:rsid w:val="003168E8"/>
    <w:rsid w:val="00321752"/>
    <w:rsid w:val="003276E0"/>
    <w:rsid w:val="00331F96"/>
    <w:rsid w:val="0033453C"/>
    <w:rsid w:val="00353313"/>
    <w:rsid w:val="00366A46"/>
    <w:rsid w:val="00373A66"/>
    <w:rsid w:val="00384BC5"/>
    <w:rsid w:val="00392EA3"/>
    <w:rsid w:val="003B0D40"/>
    <w:rsid w:val="003B1148"/>
    <w:rsid w:val="003C132B"/>
    <w:rsid w:val="003D3241"/>
    <w:rsid w:val="003F4469"/>
    <w:rsid w:val="003F6E86"/>
    <w:rsid w:val="00417C0F"/>
    <w:rsid w:val="004209DB"/>
    <w:rsid w:val="004327CA"/>
    <w:rsid w:val="00433301"/>
    <w:rsid w:val="00453F09"/>
    <w:rsid w:val="00457400"/>
    <w:rsid w:val="00477C5B"/>
    <w:rsid w:val="00477FB3"/>
    <w:rsid w:val="004949DD"/>
    <w:rsid w:val="004C4DC8"/>
    <w:rsid w:val="004F153A"/>
    <w:rsid w:val="004F7042"/>
    <w:rsid w:val="00500A40"/>
    <w:rsid w:val="0050559E"/>
    <w:rsid w:val="005136D7"/>
    <w:rsid w:val="00544395"/>
    <w:rsid w:val="0054479B"/>
    <w:rsid w:val="005511D2"/>
    <w:rsid w:val="00552119"/>
    <w:rsid w:val="0057490B"/>
    <w:rsid w:val="00577328"/>
    <w:rsid w:val="0058022B"/>
    <w:rsid w:val="005D46F9"/>
    <w:rsid w:val="00602505"/>
    <w:rsid w:val="00603A96"/>
    <w:rsid w:val="006121BD"/>
    <w:rsid w:val="0061259F"/>
    <w:rsid w:val="00621B10"/>
    <w:rsid w:val="006271A3"/>
    <w:rsid w:val="00632CD3"/>
    <w:rsid w:val="00643C95"/>
    <w:rsid w:val="006473D4"/>
    <w:rsid w:val="006504F0"/>
    <w:rsid w:val="00651AEA"/>
    <w:rsid w:val="00660677"/>
    <w:rsid w:val="00665489"/>
    <w:rsid w:val="006742FF"/>
    <w:rsid w:val="0067477A"/>
    <w:rsid w:val="00675842"/>
    <w:rsid w:val="00684613"/>
    <w:rsid w:val="00690BCD"/>
    <w:rsid w:val="00694A80"/>
    <w:rsid w:val="00695225"/>
    <w:rsid w:val="006A125A"/>
    <w:rsid w:val="006C1AF7"/>
    <w:rsid w:val="006D4AC0"/>
    <w:rsid w:val="006E0A45"/>
    <w:rsid w:val="006E1D1C"/>
    <w:rsid w:val="006E1FDD"/>
    <w:rsid w:val="006F4F35"/>
    <w:rsid w:val="006F672D"/>
    <w:rsid w:val="00702311"/>
    <w:rsid w:val="00707C6A"/>
    <w:rsid w:val="007161F2"/>
    <w:rsid w:val="00717438"/>
    <w:rsid w:val="0072798E"/>
    <w:rsid w:val="007359A0"/>
    <w:rsid w:val="00742BE0"/>
    <w:rsid w:val="00763026"/>
    <w:rsid w:val="0077489E"/>
    <w:rsid w:val="00776933"/>
    <w:rsid w:val="00782F9F"/>
    <w:rsid w:val="00786B27"/>
    <w:rsid w:val="00797B31"/>
    <w:rsid w:val="007A538B"/>
    <w:rsid w:val="007B4E19"/>
    <w:rsid w:val="007C0185"/>
    <w:rsid w:val="007C62B8"/>
    <w:rsid w:val="007D3D6B"/>
    <w:rsid w:val="007D62C5"/>
    <w:rsid w:val="007F4ACD"/>
    <w:rsid w:val="00825536"/>
    <w:rsid w:val="00827BB4"/>
    <w:rsid w:val="00833D53"/>
    <w:rsid w:val="008408FA"/>
    <w:rsid w:val="00856252"/>
    <w:rsid w:val="0085628D"/>
    <w:rsid w:val="008666D7"/>
    <w:rsid w:val="00873413"/>
    <w:rsid w:val="008875FA"/>
    <w:rsid w:val="008B12AC"/>
    <w:rsid w:val="008B1C2D"/>
    <w:rsid w:val="008B762F"/>
    <w:rsid w:val="008C7F17"/>
    <w:rsid w:val="008E1A47"/>
    <w:rsid w:val="008E3AB5"/>
    <w:rsid w:val="008E60AE"/>
    <w:rsid w:val="00910874"/>
    <w:rsid w:val="009167FB"/>
    <w:rsid w:val="00943F52"/>
    <w:rsid w:val="009537E8"/>
    <w:rsid w:val="00953A8E"/>
    <w:rsid w:val="0095516C"/>
    <w:rsid w:val="00967C53"/>
    <w:rsid w:val="00974640"/>
    <w:rsid w:val="009B0EAF"/>
    <w:rsid w:val="009B2A6C"/>
    <w:rsid w:val="009C026A"/>
    <w:rsid w:val="009D3CB9"/>
    <w:rsid w:val="009F0BC5"/>
    <w:rsid w:val="00A037B7"/>
    <w:rsid w:val="00A07403"/>
    <w:rsid w:val="00A07DDC"/>
    <w:rsid w:val="00A10B7A"/>
    <w:rsid w:val="00A17052"/>
    <w:rsid w:val="00A20EF4"/>
    <w:rsid w:val="00A272B5"/>
    <w:rsid w:val="00A33C22"/>
    <w:rsid w:val="00A41A11"/>
    <w:rsid w:val="00A5296F"/>
    <w:rsid w:val="00A57ED5"/>
    <w:rsid w:val="00A65C09"/>
    <w:rsid w:val="00A82675"/>
    <w:rsid w:val="00A86D62"/>
    <w:rsid w:val="00A97F0D"/>
    <w:rsid w:val="00AA03F9"/>
    <w:rsid w:val="00AA19DA"/>
    <w:rsid w:val="00AA4C9D"/>
    <w:rsid w:val="00AB2657"/>
    <w:rsid w:val="00AB4D72"/>
    <w:rsid w:val="00AB541E"/>
    <w:rsid w:val="00AB6190"/>
    <w:rsid w:val="00AD50B1"/>
    <w:rsid w:val="00AD73D5"/>
    <w:rsid w:val="00B02A58"/>
    <w:rsid w:val="00B0545A"/>
    <w:rsid w:val="00B17304"/>
    <w:rsid w:val="00B242C2"/>
    <w:rsid w:val="00B3122C"/>
    <w:rsid w:val="00B47EB1"/>
    <w:rsid w:val="00B5364C"/>
    <w:rsid w:val="00B542EC"/>
    <w:rsid w:val="00B602E2"/>
    <w:rsid w:val="00B6047E"/>
    <w:rsid w:val="00B87AC0"/>
    <w:rsid w:val="00B87E80"/>
    <w:rsid w:val="00BA1625"/>
    <w:rsid w:val="00BB7A8F"/>
    <w:rsid w:val="00BC5307"/>
    <w:rsid w:val="00BD421A"/>
    <w:rsid w:val="00C00D1C"/>
    <w:rsid w:val="00C22999"/>
    <w:rsid w:val="00C3662B"/>
    <w:rsid w:val="00C43C07"/>
    <w:rsid w:val="00C452B9"/>
    <w:rsid w:val="00C4759C"/>
    <w:rsid w:val="00C56F00"/>
    <w:rsid w:val="00C5797C"/>
    <w:rsid w:val="00C57996"/>
    <w:rsid w:val="00C57DCB"/>
    <w:rsid w:val="00C72D9F"/>
    <w:rsid w:val="00C7374D"/>
    <w:rsid w:val="00C9571E"/>
    <w:rsid w:val="00CB1F84"/>
    <w:rsid w:val="00CB6128"/>
    <w:rsid w:val="00CC1295"/>
    <w:rsid w:val="00CC3796"/>
    <w:rsid w:val="00CD05CA"/>
    <w:rsid w:val="00CD2670"/>
    <w:rsid w:val="00CD4E47"/>
    <w:rsid w:val="00CD62AB"/>
    <w:rsid w:val="00CD65AE"/>
    <w:rsid w:val="00CD7D31"/>
    <w:rsid w:val="00CE1B3A"/>
    <w:rsid w:val="00CF164D"/>
    <w:rsid w:val="00D00F45"/>
    <w:rsid w:val="00D13375"/>
    <w:rsid w:val="00D327A6"/>
    <w:rsid w:val="00D6007B"/>
    <w:rsid w:val="00D64F26"/>
    <w:rsid w:val="00D83E21"/>
    <w:rsid w:val="00D900CB"/>
    <w:rsid w:val="00D900CD"/>
    <w:rsid w:val="00D90ED6"/>
    <w:rsid w:val="00D96BE7"/>
    <w:rsid w:val="00DA1285"/>
    <w:rsid w:val="00DA601B"/>
    <w:rsid w:val="00DB1703"/>
    <w:rsid w:val="00DB482D"/>
    <w:rsid w:val="00DD0CD7"/>
    <w:rsid w:val="00DD2EFA"/>
    <w:rsid w:val="00DE0BA5"/>
    <w:rsid w:val="00DF2E0E"/>
    <w:rsid w:val="00DF3416"/>
    <w:rsid w:val="00E006AC"/>
    <w:rsid w:val="00E01BEB"/>
    <w:rsid w:val="00E12DEE"/>
    <w:rsid w:val="00E24DA2"/>
    <w:rsid w:val="00E601D1"/>
    <w:rsid w:val="00E60AC0"/>
    <w:rsid w:val="00E917E8"/>
    <w:rsid w:val="00E93FB5"/>
    <w:rsid w:val="00E95122"/>
    <w:rsid w:val="00E95D32"/>
    <w:rsid w:val="00EA06B0"/>
    <w:rsid w:val="00EB2EDF"/>
    <w:rsid w:val="00ED2237"/>
    <w:rsid w:val="00ED5FCA"/>
    <w:rsid w:val="00EE698F"/>
    <w:rsid w:val="00EF1232"/>
    <w:rsid w:val="00F002D0"/>
    <w:rsid w:val="00F022A3"/>
    <w:rsid w:val="00F12511"/>
    <w:rsid w:val="00F150E1"/>
    <w:rsid w:val="00F233B0"/>
    <w:rsid w:val="00F656D0"/>
    <w:rsid w:val="00F7351E"/>
    <w:rsid w:val="00F75015"/>
    <w:rsid w:val="00F8456F"/>
    <w:rsid w:val="00FA1425"/>
    <w:rsid w:val="00FA25FC"/>
    <w:rsid w:val="00FA2BC3"/>
    <w:rsid w:val="00FA516B"/>
    <w:rsid w:val="00FC053D"/>
    <w:rsid w:val="00FC08C3"/>
    <w:rsid w:val="00FE4923"/>
    <w:rsid w:val="00FE74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8DFD343"/>
  <w15:docId w15:val="{9E74297B-2360-4234-AC14-FAB0C00C7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2E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ournalfont">
    <w:name w:val="_Journal font"/>
    <w:qFormat/>
    <w:rsid w:val="00DD2EFA"/>
    <w:pPr>
      <w:widowControl w:val="0"/>
      <w:spacing w:line="260" w:lineRule="exact"/>
      <w:jc w:val="both"/>
    </w:pPr>
    <w:rPr>
      <w:sz w:val="22"/>
    </w:rPr>
  </w:style>
  <w:style w:type="paragraph" w:customStyle="1" w:styleId="Document">
    <w:name w:val="_Document"/>
    <w:basedOn w:val="Journalfont"/>
    <w:qFormat/>
    <w:rsid w:val="00DD2EFA"/>
    <w:pPr>
      <w:widowControl/>
      <w:suppressLineNumbers/>
      <w:tabs>
        <w:tab w:val="left" w:pos="0"/>
        <w:tab w:val="left" w:pos="440"/>
        <w:tab w:val="left" w:pos="620"/>
      </w:tabs>
      <w:spacing w:before="100"/>
      <w:ind w:firstLine="440"/>
    </w:pPr>
  </w:style>
  <w:style w:type="paragraph" w:styleId="Header">
    <w:name w:val="header"/>
    <w:basedOn w:val="Normal"/>
    <w:semiHidden/>
    <w:rsid w:val="00DD2EFA"/>
    <w:pPr>
      <w:tabs>
        <w:tab w:val="center" w:pos="4320"/>
        <w:tab w:val="right" w:pos="8640"/>
      </w:tabs>
    </w:pPr>
  </w:style>
  <w:style w:type="paragraph" w:styleId="Footer">
    <w:name w:val="footer"/>
    <w:basedOn w:val="Normal"/>
    <w:semiHidden/>
    <w:rsid w:val="00DD2EFA"/>
    <w:pPr>
      <w:tabs>
        <w:tab w:val="center" w:pos="4320"/>
        <w:tab w:val="right" w:pos="8640"/>
      </w:tabs>
    </w:pPr>
  </w:style>
  <w:style w:type="character" w:styleId="PageNumber">
    <w:name w:val="page number"/>
    <w:basedOn w:val="DefaultParagraphFont"/>
    <w:semiHidden/>
    <w:rsid w:val="00DD2EFA"/>
  </w:style>
  <w:style w:type="paragraph" w:customStyle="1" w:styleId="FootNote">
    <w:name w:val="_FootNote"/>
    <w:basedOn w:val="Document"/>
    <w:qFormat/>
    <w:rsid w:val="00DD2EFA"/>
    <w:pPr>
      <w:tabs>
        <w:tab w:val="clear" w:pos="0"/>
        <w:tab w:val="clear" w:pos="440"/>
        <w:tab w:val="clear" w:pos="620"/>
        <w:tab w:val="right" w:pos="480"/>
        <w:tab w:val="left" w:pos="680"/>
      </w:tabs>
      <w:spacing w:before="0" w:line="200" w:lineRule="exact"/>
      <w:ind w:firstLine="0"/>
    </w:pPr>
    <w:rPr>
      <w:sz w:val="16"/>
    </w:rPr>
  </w:style>
  <w:style w:type="paragraph" w:customStyle="1" w:styleId="FootNotePara">
    <w:name w:val="_FootNotePara"/>
    <w:basedOn w:val="FootNote"/>
    <w:qFormat/>
    <w:rsid w:val="00DD2EFA"/>
    <w:pPr>
      <w:ind w:firstLine="400"/>
    </w:pPr>
  </w:style>
  <w:style w:type="character" w:customStyle="1" w:styleId="NoterefInText">
    <w:name w:val="_NoterefInText"/>
    <w:basedOn w:val="DefaultParagraphFont"/>
    <w:qFormat/>
    <w:rsid w:val="00DD2EFA"/>
    <w:rPr>
      <w:rFonts w:ascii="Times New Roman" w:hAnsi="Times New Roman"/>
      <w:position w:val="8"/>
      <w:sz w:val="15"/>
      <w:vertAlign w:val="baseline"/>
    </w:rPr>
  </w:style>
  <w:style w:type="character" w:customStyle="1" w:styleId="NoterefInNote">
    <w:name w:val="_NoterefInNote"/>
    <w:basedOn w:val="DefaultParagraphFont"/>
    <w:qFormat/>
    <w:rsid w:val="00DD2EFA"/>
    <w:rPr>
      <w:rFonts w:ascii="Times New Roman" w:hAnsi="Times New Roman"/>
      <w:sz w:val="16"/>
      <w:vertAlign w:val="baseline"/>
    </w:rPr>
  </w:style>
  <w:style w:type="paragraph" w:customStyle="1" w:styleId="1StQuoteFN">
    <w:name w:val="_1StQuoteFN"/>
    <w:basedOn w:val="FootNote"/>
    <w:next w:val="FootNote"/>
    <w:qFormat/>
    <w:rsid w:val="00DD2EFA"/>
    <w:pPr>
      <w:tabs>
        <w:tab w:val="clear" w:pos="480"/>
        <w:tab w:val="clear" w:pos="680"/>
        <w:tab w:val="left" w:pos="560"/>
      </w:tabs>
      <w:spacing w:line="170" w:lineRule="exact"/>
      <w:ind w:left="317" w:right="317"/>
    </w:pPr>
  </w:style>
  <w:style w:type="paragraph" w:customStyle="1" w:styleId="2NdQuoteFN">
    <w:name w:val="_2NdQuoteFN"/>
    <w:basedOn w:val="FootNote"/>
    <w:next w:val="FootNote"/>
    <w:qFormat/>
    <w:rsid w:val="00DD2EFA"/>
    <w:pPr>
      <w:spacing w:before="40" w:line="170" w:lineRule="exact"/>
      <w:ind w:left="640" w:right="320"/>
    </w:pPr>
  </w:style>
  <w:style w:type="paragraph" w:customStyle="1" w:styleId="3RdQuoteFN">
    <w:name w:val="_3RdQuoteFN"/>
    <w:basedOn w:val="FootNote"/>
    <w:next w:val="FootNote"/>
    <w:qFormat/>
    <w:rsid w:val="00DD2EFA"/>
    <w:pPr>
      <w:spacing w:before="40" w:line="170" w:lineRule="exact"/>
      <w:ind w:left="960" w:right="320"/>
    </w:pPr>
  </w:style>
  <w:style w:type="paragraph" w:customStyle="1" w:styleId="4ThQuoteFN">
    <w:name w:val="_4ThQuoteFN"/>
    <w:basedOn w:val="FootNote"/>
    <w:next w:val="FootNote"/>
    <w:qFormat/>
    <w:rsid w:val="00DD2EFA"/>
    <w:pPr>
      <w:spacing w:before="40" w:line="170" w:lineRule="exact"/>
      <w:ind w:left="1280" w:right="320"/>
    </w:pPr>
  </w:style>
  <w:style w:type="paragraph" w:customStyle="1" w:styleId="1StQuoteTXT">
    <w:name w:val="_1StQuoteTXT"/>
    <w:basedOn w:val="Document"/>
    <w:next w:val="Document"/>
    <w:qFormat/>
    <w:rsid w:val="00DD2EFA"/>
    <w:pPr>
      <w:tabs>
        <w:tab w:val="clear" w:pos="0"/>
        <w:tab w:val="clear" w:pos="440"/>
      </w:tabs>
      <w:spacing w:before="40" w:after="40" w:line="240" w:lineRule="exact"/>
      <w:ind w:left="400" w:right="400" w:firstLine="0"/>
    </w:pPr>
    <w:rPr>
      <w:sz w:val="20"/>
    </w:rPr>
  </w:style>
  <w:style w:type="paragraph" w:customStyle="1" w:styleId="2NdQuoteTXT">
    <w:name w:val="_2NdQuoteTXT"/>
    <w:basedOn w:val="Document"/>
    <w:next w:val="Document"/>
    <w:qFormat/>
    <w:rsid w:val="00DD2EFA"/>
    <w:pPr>
      <w:spacing w:before="40" w:after="40" w:line="240" w:lineRule="exact"/>
      <w:ind w:left="800" w:right="400" w:firstLine="0"/>
    </w:pPr>
    <w:rPr>
      <w:sz w:val="20"/>
    </w:rPr>
  </w:style>
  <w:style w:type="paragraph" w:customStyle="1" w:styleId="3RdQuoteTXT">
    <w:name w:val="_3RdQuoteTXT"/>
    <w:basedOn w:val="Document"/>
    <w:next w:val="Document"/>
    <w:qFormat/>
    <w:rsid w:val="00DD2EFA"/>
    <w:pPr>
      <w:spacing w:before="40" w:after="40" w:line="240" w:lineRule="exact"/>
      <w:ind w:left="1200" w:right="400" w:firstLine="0"/>
    </w:pPr>
    <w:rPr>
      <w:sz w:val="20"/>
    </w:rPr>
  </w:style>
  <w:style w:type="paragraph" w:customStyle="1" w:styleId="4ThQuoteTXT">
    <w:name w:val="_4ThQuoteTXT"/>
    <w:basedOn w:val="Document"/>
    <w:next w:val="Document"/>
    <w:qFormat/>
    <w:rsid w:val="00DD2EFA"/>
    <w:pPr>
      <w:spacing w:before="40" w:after="40" w:line="240" w:lineRule="exact"/>
      <w:ind w:left="1600" w:right="400" w:firstLine="0"/>
    </w:pPr>
    <w:rPr>
      <w:sz w:val="20"/>
    </w:rPr>
  </w:style>
  <w:style w:type="paragraph" w:customStyle="1" w:styleId="Toc0">
    <w:name w:val="_Toc0"/>
    <w:basedOn w:val="Document"/>
    <w:next w:val="Document"/>
    <w:qFormat/>
    <w:rsid w:val="00DD2EFA"/>
    <w:pPr>
      <w:tabs>
        <w:tab w:val="clear" w:pos="0"/>
        <w:tab w:val="clear" w:pos="440"/>
        <w:tab w:val="clear" w:pos="620"/>
        <w:tab w:val="right" w:leader="dot" w:pos="6720"/>
      </w:tabs>
      <w:spacing w:before="0"/>
      <w:ind w:firstLine="0"/>
      <w:jc w:val="left"/>
    </w:pPr>
    <w:rPr>
      <w:caps/>
    </w:rPr>
  </w:style>
  <w:style w:type="paragraph" w:customStyle="1" w:styleId="Toc1">
    <w:name w:val="_Toc1"/>
    <w:basedOn w:val="Document"/>
    <w:next w:val="Document"/>
    <w:qFormat/>
    <w:rsid w:val="00DD2EFA"/>
    <w:pPr>
      <w:tabs>
        <w:tab w:val="clear" w:pos="0"/>
        <w:tab w:val="clear" w:pos="620"/>
        <w:tab w:val="right" w:pos="440"/>
        <w:tab w:val="left" w:pos="600"/>
        <w:tab w:val="right" w:leader="dot" w:pos="6720"/>
      </w:tabs>
      <w:spacing w:before="0"/>
      <w:ind w:left="600" w:right="440" w:hanging="600"/>
      <w:jc w:val="left"/>
    </w:pPr>
    <w:rPr>
      <w:caps/>
    </w:rPr>
  </w:style>
  <w:style w:type="paragraph" w:customStyle="1" w:styleId="Toc2">
    <w:name w:val="_Toc2"/>
    <w:basedOn w:val="Document"/>
    <w:next w:val="Document"/>
    <w:qFormat/>
    <w:rsid w:val="00DD2EFA"/>
    <w:pPr>
      <w:tabs>
        <w:tab w:val="clear" w:pos="0"/>
        <w:tab w:val="clear" w:pos="440"/>
        <w:tab w:val="clear" w:pos="620"/>
        <w:tab w:val="left" w:pos="400"/>
        <w:tab w:val="right" w:leader="dot" w:pos="6720"/>
      </w:tabs>
      <w:spacing w:before="0"/>
      <w:ind w:left="1000" w:right="440" w:hanging="400"/>
      <w:jc w:val="left"/>
    </w:pPr>
    <w:rPr>
      <w:smallCaps/>
    </w:rPr>
  </w:style>
  <w:style w:type="paragraph" w:customStyle="1" w:styleId="Toc3">
    <w:name w:val="_Toc3"/>
    <w:basedOn w:val="Document"/>
    <w:next w:val="Document"/>
    <w:qFormat/>
    <w:rsid w:val="00DD2EFA"/>
    <w:pPr>
      <w:tabs>
        <w:tab w:val="clear" w:pos="0"/>
        <w:tab w:val="clear" w:pos="440"/>
        <w:tab w:val="clear" w:pos="620"/>
        <w:tab w:val="left" w:pos="320"/>
        <w:tab w:val="right" w:leader="dot" w:pos="6720"/>
      </w:tabs>
      <w:spacing w:before="0"/>
      <w:ind w:left="1320" w:right="440" w:hanging="320"/>
      <w:jc w:val="left"/>
    </w:pPr>
  </w:style>
  <w:style w:type="paragraph" w:customStyle="1" w:styleId="Toc4">
    <w:name w:val="_Toc4"/>
    <w:basedOn w:val="Document"/>
    <w:next w:val="Document"/>
    <w:qFormat/>
    <w:rsid w:val="00DD2EFA"/>
    <w:pPr>
      <w:tabs>
        <w:tab w:val="clear" w:pos="0"/>
        <w:tab w:val="clear" w:pos="440"/>
        <w:tab w:val="clear" w:pos="620"/>
        <w:tab w:val="left" w:pos="360"/>
        <w:tab w:val="right" w:leader="dot" w:pos="6720"/>
      </w:tabs>
      <w:spacing w:before="0"/>
      <w:ind w:left="1680" w:right="440" w:hanging="360"/>
      <w:jc w:val="left"/>
    </w:pPr>
  </w:style>
  <w:style w:type="paragraph" w:customStyle="1" w:styleId="Toc5">
    <w:name w:val="_Toc5"/>
    <w:basedOn w:val="Document"/>
    <w:next w:val="Document"/>
    <w:qFormat/>
    <w:rsid w:val="00DD2EFA"/>
    <w:pPr>
      <w:tabs>
        <w:tab w:val="clear" w:pos="0"/>
        <w:tab w:val="clear" w:pos="440"/>
        <w:tab w:val="clear" w:pos="620"/>
        <w:tab w:val="right" w:pos="360"/>
        <w:tab w:val="right" w:leader="dot" w:pos="6720"/>
      </w:tabs>
      <w:spacing w:before="0"/>
      <w:ind w:left="2040" w:right="440" w:hanging="360"/>
      <w:jc w:val="left"/>
    </w:pPr>
  </w:style>
  <w:style w:type="paragraph" w:customStyle="1" w:styleId="SectionHead">
    <w:name w:val="_SectionHead"/>
    <w:basedOn w:val="Journalfont"/>
    <w:next w:val="Document"/>
    <w:qFormat/>
    <w:rsid w:val="00DD2EFA"/>
    <w:pPr>
      <w:keepNext/>
      <w:suppressLineNumbers/>
      <w:suppressAutoHyphens/>
      <w:spacing w:after="480" w:line="440" w:lineRule="exact"/>
      <w:jc w:val="center"/>
    </w:pPr>
    <w:rPr>
      <w:caps/>
      <w:sz w:val="36"/>
    </w:rPr>
  </w:style>
  <w:style w:type="paragraph" w:customStyle="1" w:styleId="Head1-Articles">
    <w:name w:val="_Head1-Articles"/>
    <w:basedOn w:val="Journalfont"/>
    <w:next w:val="Document"/>
    <w:qFormat/>
    <w:rsid w:val="00DD2EFA"/>
    <w:pPr>
      <w:keepNext/>
      <w:suppressLineNumbers/>
      <w:suppressAutoHyphens/>
      <w:spacing w:after="480" w:line="440" w:lineRule="exact"/>
      <w:jc w:val="center"/>
    </w:pPr>
    <w:rPr>
      <w:caps/>
      <w:sz w:val="36"/>
    </w:rPr>
  </w:style>
  <w:style w:type="paragraph" w:customStyle="1" w:styleId="Head2-Notes">
    <w:name w:val="_Head2-Notes"/>
    <w:aliases w:val="Comments"/>
    <w:basedOn w:val="Journalfont"/>
    <w:next w:val="Document"/>
    <w:qFormat/>
    <w:rsid w:val="00DD2EFA"/>
    <w:pPr>
      <w:keepNext/>
      <w:suppressLineNumbers/>
      <w:suppressAutoHyphens/>
      <w:spacing w:after="320" w:line="440" w:lineRule="exact"/>
      <w:jc w:val="center"/>
    </w:pPr>
    <w:rPr>
      <w:sz w:val="36"/>
    </w:rPr>
  </w:style>
  <w:style w:type="paragraph" w:customStyle="1" w:styleId="AuthorName1-Articles">
    <w:name w:val="_AuthorName1-Articles"/>
    <w:basedOn w:val="Journalfont"/>
    <w:next w:val="Document"/>
    <w:qFormat/>
    <w:rsid w:val="00DD2EFA"/>
    <w:pPr>
      <w:keepNext/>
      <w:suppressLineNumbers/>
      <w:suppressAutoHyphens/>
      <w:spacing w:after="380"/>
      <w:jc w:val="center"/>
    </w:pPr>
    <w:rPr>
      <w:smallCaps/>
    </w:rPr>
  </w:style>
  <w:style w:type="paragraph" w:customStyle="1" w:styleId="AuthorName2-Students">
    <w:name w:val="_AuthorName2-Students"/>
    <w:basedOn w:val="Journalfont"/>
    <w:next w:val="Document"/>
    <w:qFormat/>
    <w:rsid w:val="00DD2EFA"/>
    <w:pPr>
      <w:keepNext/>
      <w:suppressLineNumbers/>
      <w:suppressAutoHyphens/>
      <w:spacing w:before="320"/>
      <w:jc w:val="right"/>
    </w:pPr>
    <w:rPr>
      <w:i/>
    </w:rPr>
  </w:style>
  <w:style w:type="paragraph" w:customStyle="1" w:styleId="SubHead1">
    <w:name w:val="_SubHead1"/>
    <w:basedOn w:val="Journalfont"/>
    <w:next w:val="Document"/>
    <w:qFormat/>
    <w:rsid w:val="00DD2EFA"/>
    <w:pPr>
      <w:keepNext/>
      <w:keepLines/>
      <w:suppressLineNumbers/>
      <w:tabs>
        <w:tab w:val="left" w:pos="360"/>
      </w:tabs>
      <w:suppressAutoHyphens/>
      <w:spacing w:before="220" w:after="120"/>
      <w:jc w:val="center"/>
    </w:pPr>
    <w:rPr>
      <w:caps/>
    </w:rPr>
  </w:style>
  <w:style w:type="paragraph" w:customStyle="1" w:styleId="SubHead2">
    <w:name w:val="_SubHead2"/>
    <w:basedOn w:val="Journalfont"/>
    <w:next w:val="Document"/>
    <w:qFormat/>
    <w:rsid w:val="00DD2EFA"/>
    <w:pPr>
      <w:keepNext/>
      <w:keepLines/>
      <w:suppressLineNumbers/>
      <w:tabs>
        <w:tab w:val="left" w:pos="360"/>
      </w:tabs>
      <w:suppressAutoHyphens/>
      <w:spacing w:before="220" w:after="120"/>
      <w:jc w:val="center"/>
    </w:pPr>
    <w:rPr>
      <w:smallCaps/>
    </w:rPr>
  </w:style>
  <w:style w:type="paragraph" w:customStyle="1" w:styleId="SubHead3">
    <w:name w:val="_SubHead3"/>
    <w:basedOn w:val="Journalfont"/>
    <w:next w:val="Document"/>
    <w:qFormat/>
    <w:rsid w:val="00DD2EFA"/>
    <w:pPr>
      <w:keepNext/>
      <w:keepLines/>
      <w:suppressLineNumbers/>
      <w:tabs>
        <w:tab w:val="left" w:pos="320"/>
      </w:tabs>
      <w:spacing w:before="200" w:after="80"/>
      <w:ind w:left="360" w:hanging="360"/>
      <w:jc w:val="left"/>
    </w:pPr>
  </w:style>
  <w:style w:type="paragraph" w:customStyle="1" w:styleId="SubHead4">
    <w:name w:val="_SubHead4"/>
    <w:basedOn w:val="Document"/>
    <w:next w:val="Document"/>
    <w:qFormat/>
    <w:rsid w:val="00DD2EFA"/>
    <w:pPr>
      <w:tabs>
        <w:tab w:val="clear" w:pos="0"/>
        <w:tab w:val="clear" w:pos="440"/>
        <w:tab w:val="clear" w:pos="620"/>
        <w:tab w:val="left" w:pos="800"/>
      </w:tabs>
      <w:suppressAutoHyphens/>
    </w:pPr>
  </w:style>
  <w:style w:type="paragraph" w:customStyle="1" w:styleId="SubHead5">
    <w:name w:val="_SubHead5"/>
    <w:basedOn w:val="Journalfont"/>
    <w:next w:val="Document"/>
    <w:qFormat/>
    <w:rsid w:val="00DD2EFA"/>
    <w:pPr>
      <w:widowControl/>
      <w:suppressLineNumbers/>
      <w:tabs>
        <w:tab w:val="left" w:pos="1020"/>
      </w:tabs>
      <w:suppressAutoHyphens/>
      <w:spacing w:before="100"/>
      <w:ind w:firstLine="660"/>
    </w:pPr>
  </w:style>
  <w:style w:type="paragraph" w:customStyle="1" w:styleId="END">
    <w:name w:val="_END"/>
    <w:basedOn w:val="Journalfont"/>
    <w:next w:val="Document"/>
    <w:rsid w:val="00DD2EFA"/>
    <w:pPr>
      <w:suppressLineNumbers/>
      <w:spacing w:line="0" w:lineRule="atLeast"/>
    </w:pPr>
  </w:style>
  <w:style w:type="paragraph" w:customStyle="1" w:styleId="1StLineQuoteFN-1Num">
    <w:name w:val="_1StLineQuoteFN-1Num"/>
    <w:basedOn w:val="FootNote"/>
    <w:next w:val="FootNote"/>
    <w:qFormat/>
    <w:rsid w:val="00DD2EFA"/>
    <w:pPr>
      <w:tabs>
        <w:tab w:val="clear" w:pos="480"/>
        <w:tab w:val="left" w:pos="370"/>
      </w:tabs>
      <w:ind w:left="320" w:right="320"/>
    </w:pPr>
  </w:style>
  <w:style w:type="paragraph" w:customStyle="1" w:styleId="1StLineQuoteFN-2Num">
    <w:name w:val="_1StLineQuoteFN-2Num"/>
    <w:basedOn w:val="FootNote"/>
    <w:next w:val="FootNote"/>
    <w:qFormat/>
    <w:rsid w:val="00DD2EFA"/>
    <w:pPr>
      <w:tabs>
        <w:tab w:val="clear" w:pos="480"/>
        <w:tab w:val="left" w:pos="290"/>
      </w:tabs>
      <w:spacing w:line="170" w:lineRule="exact"/>
      <w:ind w:left="320" w:right="320" w:hanging="320"/>
    </w:pPr>
  </w:style>
  <w:style w:type="paragraph" w:customStyle="1" w:styleId="1StLineQuoteFN-3Num">
    <w:name w:val="_1StLineQuoteFN-3Num"/>
    <w:basedOn w:val="1StLineQuoteFN-1Num"/>
    <w:next w:val="FootNote"/>
    <w:qFormat/>
    <w:rsid w:val="00DD2EFA"/>
    <w:pPr>
      <w:tabs>
        <w:tab w:val="clear" w:pos="370"/>
        <w:tab w:val="left" w:pos="210"/>
      </w:tabs>
      <w:spacing w:line="170" w:lineRule="exact"/>
      <w:ind w:hanging="320"/>
    </w:pPr>
  </w:style>
  <w:style w:type="paragraph" w:styleId="TOC20">
    <w:name w:val="toc 2"/>
    <w:basedOn w:val="Toc2"/>
    <w:next w:val="Journalfont"/>
    <w:autoRedefine/>
    <w:uiPriority w:val="39"/>
    <w:rsid w:val="009167FB"/>
  </w:style>
  <w:style w:type="paragraph" w:styleId="TOC30">
    <w:name w:val="toc 3"/>
    <w:basedOn w:val="Toc3"/>
    <w:next w:val="Journalfont"/>
    <w:autoRedefine/>
    <w:uiPriority w:val="39"/>
    <w:rsid w:val="009167FB"/>
  </w:style>
  <w:style w:type="paragraph" w:styleId="TOC40">
    <w:name w:val="toc 4"/>
    <w:basedOn w:val="Toc4"/>
    <w:next w:val="Journalfont"/>
    <w:autoRedefine/>
    <w:uiPriority w:val="39"/>
    <w:rsid w:val="009167FB"/>
  </w:style>
  <w:style w:type="paragraph" w:styleId="TOC50">
    <w:name w:val="toc 5"/>
    <w:basedOn w:val="Toc5"/>
    <w:next w:val="Journalfont"/>
    <w:autoRedefine/>
    <w:uiPriority w:val="39"/>
    <w:rsid w:val="006271A3"/>
  </w:style>
  <w:style w:type="paragraph" w:styleId="TOC10">
    <w:name w:val="toc 1"/>
    <w:basedOn w:val="Toc1"/>
    <w:next w:val="Journalfont"/>
    <w:autoRedefine/>
    <w:uiPriority w:val="39"/>
    <w:rsid w:val="009167FB"/>
  </w:style>
  <w:style w:type="paragraph" w:customStyle="1" w:styleId="Caption">
    <w:name w:val="_Caption"/>
    <w:basedOn w:val="1StQuoteTXT"/>
    <w:next w:val="Document"/>
    <w:rsid w:val="00DD2EFA"/>
    <w:pPr>
      <w:suppressLineNumbers w:val="0"/>
      <w:tabs>
        <w:tab w:val="clear" w:pos="620"/>
        <w:tab w:val="left" w:pos="900"/>
      </w:tabs>
      <w:ind w:left="1300" w:hanging="900"/>
      <w:jc w:val="left"/>
    </w:pPr>
  </w:style>
  <w:style w:type="paragraph" w:styleId="ListParagraph">
    <w:name w:val="List Paragraph"/>
    <w:basedOn w:val="Normal"/>
    <w:uiPriority w:val="34"/>
    <w:rsid w:val="00DD2EFA"/>
    <w:pPr>
      <w:ind w:left="720"/>
      <w:contextualSpacing/>
    </w:pPr>
  </w:style>
  <w:style w:type="paragraph" w:styleId="BlockText">
    <w:name w:val="Block Text"/>
    <w:basedOn w:val="Normal"/>
    <w:semiHidden/>
    <w:rsid w:val="00DD2EFA"/>
    <w:pPr>
      <w:spacing w:after="120"/>
      <w:ind w:left="1440" w:right="1440"/>
    </w:pPr>
  </w:style>
  <w:style w:type="paragraph" w:customStyle="1" w:styleId="header0">
    <w:name w:val="_header"/>
    <w:basedOn w:val="Header"/>
    <w:qFormat/>
    <w:rsid w:val="00DD2EFA"/>
    <w:pPr>
      <w:pBdr>
        <w:top w:val="single" w:sz="6" w:space="1" w:color="auto"/>
        <w:bottom w:val="single" w:sz="6" w:space="1" w:color="auto"/>
      </w:pBdr>
      <w:tabs>
        <w:tab w:val="clear" w:pos="4320"/>
        <w:tab w:val="clear" w:pos="8640"/>
        <w:tab w:val="right" w:pos="6720"/>
      </w:tabs>
    </w:pPr>
    <w:rPr>
      <w:smallCaps/>
      <w:sz w:val="14"/>
    </w:rPr>
  </w:style>
  <w:style w:type="paragraph" w:styleId="ListNumber2">
    <w:name w:val="List Number 2"/>
    <w:basedOn w:val="Normal"/>
    <w:semiHidden/>
    <w:rsid w:val="00DD2EFA"/>
    <w:pPr>
      <w:numPr>
        <w:numId w:val="12"/>
      </w:numPr>
    </w:pPr>
  </w:style>
  <w:style w:type="paragraph" w:styleId="BalloonText">
    <w:name w:val="Balloon Text"/>
    <w:basedOn w:val="Normal"/>
    <w:link w:val="BalloonTextChar"/>
    <w:uiPriority w:val="99"/>
    <w:semiHidden/>
    <w:unhideWhenUsed/>
    <w:rsid w:val="000734D4"/>
    <w:rPr>
      <w:rFonts w:ascii="Tahoma" w:hAnsi="Tahoma" w:cs="Tahoma"/>
      <w:sz w:val="16"/>
      <w:szCs w:val="16"/>
    </w:rPr>
  </w:style>
  <w:style w:type="character" w:customStyle="1" w:styleId="BalloonTextChar">
    <w:name w:val="Balloon Text Char"/>
    <w:basedOn w:val="DefaultParagraphFont"/>
    <w:link w:val="BalloonText"/>
    <w:uiPriority w:val="99"/>
    <w:semiHidden/>
    <w:rsid w:val="000734D4"/>
    <w:rPr>
      <w:rFonts w:ascii="Tahoma" w:hAnsi="Tahoma" w:cs="Tahoma"/>
      <w:sz w:val="16"/>
      <w:szCs w:val="16"/>
    </w:rPr>
  </w:style>
  <w:style w:type="character" w:styleId="FootnoteReference">
    <w:name w:val="footnote reference"/>
    <w:basedOn w:val="DefaultParagraphFont"/>
    <w:uiPriority w:val="99"/>
    <w:semiHidden/>
    <w:unhideWhenUsed/>
    <w:rsid w:val="00DD2EFA"/>
    <w:rPr>
      <w:vertAlign w:val="superscript"/>
    </w:rPr>
  </w:style>
  <w:style w:type="paragraph" w:styleId="FootnoteText">
    <w:name w:val="footnote text"/>
    <w:basedOn w:val="Normal"/>
    <w:link w:val="FootnoteTextChar"/>
    <w:uiPriority w:val="99"/>
    <w:semiHidden/>
    <w:unhideWhenUsed/>
    <w:rsid w:val="00DD2EFA"/>
  </w:style>
  <w:style w:type="character" w:customStyle="1" w:styleId="FootnoteTextChar">
    <w:name w:val="Footnote Text Char"/>
    <w:basedOn w:val="DefaultParagraphFont"/>
    <w:link w:val="FootnoteText"/>
    <w:uiPriority w:val="99"/>
    <w:semiHidden/>
    <w:rsid w:val="00DD2EFA"/>
  </w:style>
  <w:style w:type="paragraph" w:styleId="CommentText">
    <w:name w:val="annotation text"/>
    <w:basedOn w:val="Normal"/>
    <w:link w:val="CommentTextChar"/>
    <w:uiPriority w:val="99"/>
    <w:semiHidden/>
    <w:unhideWhenUsed/>
    <w:rPr>
      <w:sz w:val="24"/>
      <w:szCs w:val="24"/>
    </w:rPr>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CommentSubject">
    <w:name w:val="annotation subject"/>
    <w:basedOn w:val="CommentText"/>
    <w:next w:val="CommentText"/>
    <w:link w:val="CommentSubjectChar"/>
    <w:uiPriority w:val="99"/>
    <w:semiHidden/>
    <w:unhideWhenUsed/>
    <w:rsid w:val="00AA03F9"/>
    <w:rPr>
      <w:b/>
      <w:bCs/>
      <w:sz w:val="20"/>
      <w:szCs w:val="20"/>
    </w:rPr>
  </w:style>
  <w:style w:type="character" w:customStyle="1" w:styleId="CommentSubjectChar">
    <w:name w:val="Comment Subject Char"/>
    <w:basedOn w:val="CommentTextChar"/>
    <w:link w:val="CommentSubject"/>
    <w:uiPriority w:val="99"/>
    <w:semiHidden/>
    <w:rsid w:val="00AA03F9"/>
    <w:rPr>
      <w:b/>
      <w:bCs/>
      <w:sz w:val="24"/>
      <w:szCs w:val="24"/>
    </w:rPr>
  </w:style>
  <w:style w:type="character" w:styleId="Hyperlink">
    <w:name w:val="Hyperlink"/>
    <w:basedOn w:val="DefaultParagraphFont"/>
    <w:uiPriority w:val="99"/>
    <w:unhideWhenUsed/>
    <w:rsid w:val="0057490B"/>
    <w:rPr>
      <w:color w:val="0000FF" w:themeColor="hyperlink"/>
      <w:u w:val="single"/>
    </w:rPr>
  </w:style>
  <w:style w:type="character" w:customStyle="1" w:styleId="UnresolvedMention1">
    <w:name w:val="Unresolved Mention1"/>
    <w:basedOn w:val="DefaultParagraphFont"/>
    <w:uiPriority w:val="99"/>
    <w:rsid w:val="0057490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tym\AppData\Roaming\Microsoft\Templates\_SetSCA12.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F02819-66C9-4454-AF0F-A5C009CF47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_SetSCA12</Template>
  <TotalTime>0</TotalTime>
  <Pages>13</Pages>
  <Words>2981</Words>
  <Characters>16606</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Joe Christensen, Inc.</Company>
  <LinksUpToDate>false</LinksUpToDate>
  <CharactersWithSpaces>19548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Katy Carlyle</dc:creator>
  <cp:lastModifiedBy>Caitlin Devereaux</cp:lastModifiedBy>
  <cp:revision>2</cp:revision>
  <cp:lastPrinted>2018-12-27T19:02:00Z</cp:lastPrinted>
  <dcterms:created xsi:type="dcterms:W3CDTF">2018-12-27T19:03:00Z</dcterms:created>
  <dcterms:modified xsi:type="dcterms:W3CDTF">2018-12-27T19:03:00Z</dcterms:modified>
</cp:coreProperties>
</file>